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“电子商务技能”赛项</w:t>
      </w:r>
    </w:p>
    <w:p>
      <w:pPr>
        <w:keepNext w:val="0"/>
        <w:keepLines w:val="0"/>
        <w:widowControl/>
        <w:suppressLineNumbers w:val="0"/>
        <w:jc w:val="both"/>
        <w:rPr>
          <w:rFonts w:hint="eastAsia" w:ascii="仿宋" w:hAnsi="仿宋" w:eastAsia="仿宋" w:cs="仿宋"/>
          <w:b/>
          <w:bCs/>
          <w:color w:val="000000"/>
          <w:kern w:val="0"/>
          <w:sz w:val="36"/>
          <w:szCs w:val="36"/>
          <w:lang w:val="en-US" w:eastAsia="zh-CN" w:bidi="ar"/>
        </w:rPr>
      </w:pPr>
    </w:p>
    <w:p>
      <w:pPr>
        <w:keepNext w:val="0"/>
        <w:keepLines w:val="0"/>
        <w:widowControl/>
        <w:suppressLineNumbers w:val="0"/>
        <w:ind w:firstLine="723" w:firstLineChars="20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1、竞赛方案..............（2-3）</w:t>
      </w:r>
      <w:bookmarkStart w:id="0" w:name="_GoBack"/>
      <w:bookmarkEnd w:id="0"/>
    </w:p>
    <w:p>
      <w:pPr>
        <w:keepNext w:val="0"/>
        <w:keepLines w:val="0"/>
        <w:widowControl/>
        <w:suppressLineNumbers w:val="0"/>
        <w:ind w:firstLine="723" w:firstLineChars="20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2、竞赛规程..............（4-24）</w:t>
      </w:r>
    </w:p>
    <w:p>
      <w:pPr>
        <w:keepNext w:val="0"/>
        <w:keepLines w:val="0"/>
        <w:widowControl/>
        <w:suppressLineNumbers w:val="0"/>
        <w:ind w:firstLine="723" w:firstLineChars="20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3、评分标准..............（25-26）</w:t>
      </w:r>
    </w:p>
    <w:p>
      <w:pPr>
        <w:keepNext w:val="0"/>
        <w:keepLines w:val="0"/>
        <w:widowControl/>
        <w:suppressLineNumbers w:val="0"/>
        <w:ind w:firstLine="723" w:firstLineChars="20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4、训练计划..............（27-29）</w:t>
      </w:r>
    </w:p>
    <w:p>
      <w:pPr>
        <w:keepNext w:val="0"/>
        <w:keepLines w:val="0"/>
        <w:widowControl/>
        <w:suppressLineNumbers w:val="0"/>
        <w:jc w:val="both"/>
        <w:rPr>
          <w:rFonts w:hint="default"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both"/>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“电子商务技能”赛项竞赛方案</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left"/>
        <w:rPr>
          <w:rFonts w:hint="eastAsia" w:ascii="仿宋" w:hAnsi="仿宋" w:eastAsia="仿宋" w:cs="仿宋"/>
          <w:b/>
          <w:bCs/>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一、竞赛组织机构</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主    任：何松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执行主任：孙忠</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委 员（排名不分先后）：章丽、侯月红、周旺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下设技术委员会和仲裁委员会。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（一）技术委员会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主 任: 周兴</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（排名不分先后）:陈小悠</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（二）仲裁委员会 </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主 任:李秀琴</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成 员（排名不分先后）:周红  </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二、赛项设置和承办单位</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（一）赛项名称</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电子商务技能（英文名称：</w:t>
      </w:r>
      <w:r>
        <w:rPr>
          <w:rFonts w:hint="eastAsia" w:cs="仿宋"/>
          <w:spacing w:val="-2"/>
          <w:sz w:val="32"/>
          <w:szCs w:val="32"/>
          <w:lang w:val="en-US" w:eastAsia="zh-CN"/>
        </w:rPr>
        <w:t>E-Commerce Skills</w:t>
      </w:r>
      <w:r>
        <w:rPr>
          <w:rFonts w:hint="eastAsia" w:ascii="仿宋" w:hAnsi="仿宋" w:eastAsia="仿宋" w:cs="仿宋"/>
          <w:color w:val="000000"/>
          <w:kern w:val="0"/>
          <w:sz w:val="32"/>
          <w:szCs w:val="32"/>
          <w:lang w:val="en-US" w:eastAsia="zh-CN" w:bidi="ar"/>
        </w:rPr>
        <w:t>）</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（二）承办单位</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三、参赛对象</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经济与管理系电子商务专业在校学生。</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四、奖项设置</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 xml:space="preserve">（一）参赛队伍 6-10（含10）支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设一等奖 1 项，二等奖 1 项，三等奖 1 项。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二</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参赛队伍 10 支以上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按一等奖 10%、二等奖 20%、三等奖 30%比例设置奖励。</w:t>
      </w:r>
    </w:p>
    <w:p>
      <w:pPr>
        <w:keepNext w:val="0"/>
        <w:keepLines w:val="0"/>
        <w:widowControl/>
        <w:suppressLineNumbers w:val="0"/>
        <w:jc w:val="left"/>
        <w:rPr>
          <w:rFonts w:hint="default"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五、竞赛时间与地点</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（一）</w:t>
      </w:r>
      <w:r>
        <w:rPr>
          <w:rFonts w:hint="eastAsia" w:ascii="仿宋" w:hAnsi="仿宋" w:eastAsia="仿宋" w:cs="仿宋"/>
          <w:color w:val="000000"/>
          <w:kern w:val="0"/>
          <w:sz w:val="32"/>
          <w:szCs w:val="32"/>
          <w:lang w:val="en-US" w:eastAsia="zh-CN" w:bidi="ar"/>
        </w:rPr>
        <w:t>竞赛时间</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2024年5月6日-12日</w:t>
      </w:r>
      <w:r>
        <w:rPr>
          <w:rFonts w:ascii="仿宋" w:hAnsi="仿宋" w:eastAsia="仿宋" w:cs="仿宋"/>
          <w:color w:val="000000"/>
          <w:kern w:val="0"/>
          <w:sz w:val="32"/>
          <w:szCs w:val="32"/>
          <w:lang w:val="en-US" w:eastAsia="zh-CN" w:bidi="ar"/>
        </w:rPr>
        <w:t>举办，具体时间由</w:t>
      </w:r>
      <w:r>
        <w:rPr>
          <w:rFonts w:hint="eastAsia" w:ascii="仿宋" w:hAnsi="仿宋" w:eastAsia="仿宋" w:cs="仿宋"/>
          <w:color w:val="000000"/>
          <w:kern w:val="0"/>
          <w:sz w:val="32"/>
          <w:szCs w:val="32"/>
          <w:lang w:val="en-US" w:eastAsia="zh-CN" w:bidi="ar"/>
        </w:rPr>
        <w:t>经济与管理系确定。</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二</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竞赛地点</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财贸技能大赛实训室。</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六、其他要求</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一</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本赛项组织机构负责</w:t>
      </w:r>
      <w:r>
        <w:rPr>
          <w:rFonts w:ascii="仿宋" w:hAnsi="仿宋" w:eastAsia="仿宋" w:cs="仿宋"/>
          <w:color w:val="000000"/>
          <w:kern w:val="0"/>
          <w:sz w:val="32"/>
          <w:szCs w:val="32"/>
          <w:lang w:val="en-US" w:eastAsia="zh-CN" w:bidi="ar"/>
        </w:rPr>
        <w:t>做好赛项的宣传、报名及赛项组织工作。</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（二）本赛项组织机构负责做好好赛项的技术培训和组织工作；加强参赛人员的职业道德和操作安全规则教育，确保文明参赛、安全比赛。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（三）竞赛成绩由本赛项组织机构在本部门网站公示无异议后，报教务处统一汇总，学院统一公布比赛结果。 </w:t>
      </w:r>
    </w:p>
    <w:p>
      <w:pPr>
        <w:keepNext w:val="0"/>
        <w:keepLines w:val="0"/>
        <w:widowControl/>
        <w:suppressLineNumbers w:val="0"/>
        <w:ind w:firstLine="6200" w:firstLineChars="20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                           </w:t>
      </w:r>
    </w:p>
    <w:p/>
    <w:p/>
    <w:p/>
    <w:p/>
    <w:p/>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jc w:val="center"/>
        <w:textAlignment w:val="baseline"/>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jc w:val="center"/>
        <w:textAlignment w:val="baseline"/>
        <w:rPr>
          <w:rFonts w:hint="default"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“电子商务技能”赛项竞赛规程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435" w:firstLineChars="136"/>
        <w:textAlignment w:val="baseline"/>
        <w:rPr>
          <w:rFonts w:hint="eastAsia" w:ascii="仿宋" w:hAnsi="仿宋" w:eastAsia="仿宋" w:cs="仿宋"/>
          <w:sz w:val="32"/>
          <w:szCs w:val="32"/>
        </w:rPr>
      </w:pP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14:textOutline w14:w="5094" w14:cap="flat" w14:cmpd="sng">
            <w14:solidFill>
              <w14:srgbClr w14:val="000000"/>
            </w14:solidFill>
            <w14:prstDash w14:val="solid"/>
            <w14:miter w14:val="0"/>
          </w14:textOutline>
        </w:rPr>
        <w:t>一、赛项名称</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cs="仿宋"/>
          <w:spacing w:val="-2"/>
          <w:sz w:val="32"/>
          <w:szCs w:val="32"/>
          <w:lang w:val="en-US" w:eastAsia="zh-CN"/>
        </w:rPr>
      </w:pPr>
      <w:r>
        <w:rPr>
          <w:rFonts w:hint="eastAsia" w:cs="仿宋"/>
          <w:spacing w:val="-2"/>
          <w:sz w:val="32"/>
          <w:szCs w:val="32"/>
          <w:lang w:val="en-US" w:eastAsia="zh-CN"/>
        </w:rPr>
        <w:t>赛项名称：电子商务</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cs="仿宋"/>
          <w:spacing w:val="-2"/>
          <w:sz w:val="32"/>
          <w:szCs w:val="32"/>
          <w:lang w:val="en-US" w:eastAsia="zh-CN"/>
        </w:rPr>
      </w:pPr>
      <w:r>
        <w:rPr>
          <w:rFonts w:hint="eastAsia" w:cs="仿宋"/>
          <w:spacing w:val="-2"/>
          <w:sz w:val="32"/>
          <w:szCs w:val="32"/>
          <w:lang w:val="en-US" w:eastAsia="zh-CN"/>
        </w:rPr>
        <w:t>英文名称： E-Commerce Skills</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cs="仿宋"/>
          <w:spacing w:val="-2"/>
          <w:sz w:val="32"/>
          <w:szCs w:val="32"/>
          <w:lang w:val="en-US" w:eastAsia="zh-CN"/>
        </w:rPr>
      </w:pPr>
      <w:r>
        <w:rPr>
          <w:rFonts w:hint="eastAsia" w:cs="仿宋"/>
          <w:spacing w:val="-2"/>
          <w:sz w:val="32"/>
          <w:szCs w:val="32"/>
          <w:lang w:val="en-US" w:eastAsia="zh-CN"/>
        </w:rPr>
        <w:t>赛项组别：高等职业教育</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cs="仿宋"/>
          <w:spacing w:val="-2"/>
          <w:sz w:val="32"/>
          <w:szCs w:val="32"/>
          <w:lang w:val="en-US" w:eastAsia="zh-CN"/>
        </w:rPr>
      </w:pPr>
      <w:r>
        <w:rPr>
          <w:rFonts w:hint="eastAsia" w:cs="仿宋"/>
          <w:spacing w:val="-2"/>
          <w:sz w:val="32"/>
          <w:szCs w:val="32"/>
          <w:lang w:val="en-US" w:eastAsia="zh-CN"/>
        </w:rPr>
        <w:t>赛项归属：财经商贸大类</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624" w:firstLineChars="200"/>
        <w:textAlignment w:val="baseline"/>
        <w:rPr>
          <w:rFonts w:hint="eastAsia" w:ascii="仿宋" w:hAnsi="仿宋" w:eastAsia="仿宋" w:cs="仿宋"/>
          <w:spacing w:val="-4"/>
          <w:sz w:val="32"/>
          <w:szCs w:val="32"/>
          <w14:textOutline w14:w="5094" w14:cap="flat" w14:cmpd="sng">
            <w14:solidFill>
              <w14:srgbClr w14:val="000000"/>
            </w14:solidFill>
            <w14:prstDash w14:val="solid"/>
            <w14:miter w14:val="0"/>
          </w14:textOutline>
        </w:rPr>
      </w:pPr>
      <w:r>
        <w:rPr>
          <w:rFonts w:hint="eastAsia" w:cs="仿宋"/>
          <w:spacing w:val="-4"/>
          <w:sz w:val="32"/>
          <w:szCs w:val="32"/>
          <w:lang w:val="en-US" w:eastAsia="zh-CN"/>
          <w14:textOutline w14:w="5094" w14:cap="flat" w14:cmpd="sng">
            <w14:solidFill>
              <w14:srgbClr w14:val="000000"/>
            </w14:solidFill>
            <w14:prstDash w14:val="solid"/>
            <w14:miter w14:val="0"/>
          </w14:textOutline>
        </w:rPr>
        <w:t>二、</w:t>
      </w:r>
      <w:r>
        <w:rPr>
          <w:rFonts w:hint="eastAsia" w:ascii="仿宋" w:hAnsi="仿宋" w:eastAsia="仿宋" w:cs="仿宋"/>
          <w:spacing w:val="-4"/>
          <w:sz w:val="32"/>
          <w:szCs w:val="32"/>
          <w14:textOutline w14:w="5094" w14:cap="flat" w14:cmpd="sng">
            <w14:solidFill>
              <w14:srgbClr w14:val="000000"/>
            </w14:solidFill>
            <w14:prstDash w14:val="solid"/>
            <w14:miter w14:val="0"/>
          </w14:textOutline>
        </w:rPr>
        <w:t>竞赛目标</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 xml:space="preserve">赛项坚持“以高水平赛事推动职业教育高质量发展”为主线，对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接产业前沿技术，引领职业院校专业建设与课程建设改革，引入行业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标准，促进产教融合、校企合作。通过竞赛，考察参赛选手职业道德、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职业素养、技术技能水平和创业能力，展示职业教育改革成果，全面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提升教学质量，推动电子商务从业人员整体水平的提升，激发大学生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电子商务创业热情，推动“大众创业、万众创新”在高等职业教育中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落地实施，充分发挥对职业教育“树旗、导航、定标、催化”的作用， </w:t>
      </w:r>
    </w:p>
    <w:p>
      <w:pPr>
        <w:keepNext w:val="0"/>
        <w:keepLines w:val="0"/>
        <w:widowControl/>
        <w:suppressLineNumbers w:val="0"/>
        <w:jc w:val="left"/>
        <w:rPr>
          <w:rFonts w:hint="eastAsia" w:ascii="仿宋" w:hAnsi="仿宋" w:eastAsia="仿宋" w:cs="仿宋"/>
          <w:spacing w:val="-5"/>
          <w:sz w:val="32"/>
          <w:szCs w:val="32"/>
        </w:rPr>
      </w:pPr>
      <w:r>
        <w:rPr>
          <w:rFonts w:hint="eastAsia" w:ascii="宋体" w:hAnsi="宋体" w:eastAsia="宋体" w:cs="宋体"/>
          <w:color w:val="000000"/>
          <w:kern w:val="0"/>
          <w:sz w:val="28"/>
          <w:szCs w:val="28"/>
          <w:lang w:val="en-US" w:eastAsia="zh-CN" w:bidi="ar"/>
        </w:rPr>
        <w:t xml:space="preserve">推进“岗课赛证”综合育人。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三、</w:t>
      </w:r>
      <w:r>
        <w:rPr>
          <w:rFonts w:hint="eastAsia" w:ascii="仿宋" w:hAnsi="仿宋" w:eastAsia="仿宋" w:cs="仿宋"/>
          <w:spacing w:val="-8"/>
          <w:sz w:val="32"/>
          <w:szCs w:val="32"/>
          <w14:textOutline w14:w="5094" w14:cap="flat" w14:cmpd="sng">
            <w14:solidFill>
              <w14:srgbClr w14:val="000000"/>
            </w14:solidFill>
            <w14:prstDash w14:val="solid"/>
            <w14:miter w14:val="0"/>
          </w14:textOutline>
        </w:rPr>
        <w:t>竞赛内容</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 xml:space="preserve">本赛项通过考察参赛选手直播营销、视觉营销、网店运营推广等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重要工作任务的完成质量以及选手职业素养作为竞赛内容,全面考察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选手的数据分析能力、视觉营销能力、营销策划能力、网络营销能力、直播营销能力、网店运营能力、供应链管理能力和团队合作能力。</w:t>
      </w:r>
    </w:p>
    <w:p>
      <w:pPr>
        <w:keepNext w:val="0"/>
        <w:keepLines w:val="0"/>
        <w:widowControl/>
        <w:suppressLineNumbers w:val="0"/>
        <w:jc w:val="center"/>
      </w:pPr>
      <w:r>
        <w:rPr>
          <w:rFonts w:ascii="仿宋_GB2312" w:hAnsi="仿宋_GB2312" w:eastAsia="仿宋_GB2312" w:cs="仿宋_GB2312"/>
          <w:b/>
          <w:bCs/>
          <w:color w:val="000000"/>
          <w:kern w:val="0"/>
          <w:sz w:val="24"/>
          <w:szCs w:val="24"/>
          <w:lang w:val="en-US" w:eastAsia="zh-CN" w:bidi="ar"/>
        </w:rPr>
        <w:t>表 1 竞赛内容与岗位、知识、技能</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27"/>
        <w:gridCol w:w="2880"/>
        <w:gridCol w:w="2496"/>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34" w:type="dxa"/>
            <w:noWrap w:val="0"/>
            <w:vAlign w:val="center"/>
          </w:tcPr>
          <w:p>
            <w:pPr>
              <w:pStyle w:val="2"/>
              <w:jc w:val="cente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竞赛内容</w:t>
            </w:r>
          </w:p>
        </w:tc>
        <w:tc>
          <w:tcPr>
            <w:tcW w:w="1527" w:type="dxa"/>
            <w:noWrap w:val="0"/>
            <w:vAlign w:val="center"/>
          </w:tcPr>
          <w:p>
            <w:pPr>
              <w:pStyle w:val="2"/>
              <w:jc w:val="cente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岗位</w:t>
            </w:r>
          </w:p>
        </w:tc>
        <w:tc>
          <w:tcPr>
            <w:tcW w:w="2880" w:type="dxa"/>
            <w:noWrap w:val="0"/>
            <w:vAlign w:val="center"/>
          </w:tcPr>
          <w:p>
            <w:pPr>
              <w:pStyle w:val="2"/>
              <w:jc w:val="cente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知识</w:t>
            </w:r>
          </w:p>
        </w:tc>
        <w:tc>
          <w:tcPr>
            <w:tcW w:w="3231" w:type="dxa"/>
            <w:gridSpan w:val="2"/>
            <w:noWrap w:val="0"/>
            <w:vAlign w:val="center"/>
          </w:tcPr>
          <w:p>
            <w:pPr>
              <w:pStyle w:val="2"/>
              <w:jc w:val="cente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434" w:type="dxa"/>
            <w:noWrap w:val="0"/>
            <w:vAlign w:val="center"/>
          </w:tcPr>
          <w:p>
            <w:pPr>
              <w:keepNext w:val="0"/>
              <w:keepLines w:val="0"/>
              <w:widowControl/>
              <w:suppressLineNumbers w:val="0"/>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视觉营销</w:t>
            </w:r>
          </w:p>
          <w:p>
            <w:pPr>
              <w:pStyle w:val="2"/>
              <w:jc w:val="center"/>
              <w:rPr>
                <w:rFonts w:hint="eastAsia" w:ascii="仿宋_GB2312" w:eastAsia="仿宋_GB2312" w:hAnsiTheme="minorHAnsi" w:cstheme="minorBidi"/>
                <w:kern w:val="2"/>
                <w:sz w:val="28"/>
                <w:szCs w:val="28"/>
                <w:lang w:val="en-US" w:eastAsia="zh-CN" w:bidi="ar-SA"/>
              </w:rPr>
            </w:pPr>
          </w:p>
        </w:tc>
        <w:tc>
          <w:tcPr>
            <w:tcW w:w="1527" w:type="dxa"/>
            <w:noWrap w:val="0"/>
            <w:vAlign w:val="center"/>
          </w:tcPr>
          <w:p>
            <w:pPr>
              <w:keepNext w:val="0"/>
              <w:keepLines w:val="0"/>
              <w:widowControl/>
              <w:suppressLineNumbers w:val="0"/>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网络编辑</w:t>
            </w:r>
          </w:p>
          <w:p>
            <w:pPr>
              <w:keepNext w:val="0"/>
              <w:keepLines w:val="0"/>
              <w:widowControl/>
              <w:suppressLineNumbers w:val="0"/>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网店美工</w:t>
            </w:r>
          </w:p>
          <w:p>
            <w:pPr>
              <w:pStyle w:val="2"/>
              <w:jc w:val="center"/>
              <w:rPr>
                <w:rFonts w:hint="eastAsia" w:ascii="仿宋_GB2312" w:eastAsia="仿宋_GB2312" w:hAnsiTheme="minorHAnsi" w:cstheme="minorBidi"/>
                <w:kern w:val="2"/>
                <w:sz w:val="28"/>
                <w:szCs w:val="28"/>
                <w:lang w:val="en-US" w:eastAsia="zh-CN" w:bidi="ar-SA"/>
              </w:rPr>
            </w:pPr>
          </w:p>
        </w:tc>
        <w:tc>
          <w:tcPr>
            <w:tcW w:w="2880" w:type="dxa"/>
            <w:noWrap w:val="0"/>
            <w:vAlign w:val="center"/>
          </w:tcPr>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网店知识包含 PC 店</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铺、跨境店铺和移动店</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铺开设流程与规范，商</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品知识包括商品属性、</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展示方式、信息采集、</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美术、网页知识。</w:t>
            </w:r>
          </w:p>
        </w:tc>
        <w:tc>
          <w:tcPr>
            <w:tcW w:w="2496" w:type="dxa"/>
            <w:noWrap w:val="0"/>
            <w:vAlign w:val="center"/>
          </w:tcPr>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文案策划、视觉识</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别（VI）、商品图片处理、广告设计</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首页设计、详情页</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设计、专题页设计</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网页设计、文档管</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理等技能。</w:t>
            </w:r>
          </w:p>
        </w:tc>
        <w:tc>
          <w:tcPr>
            <w:tcW w:w="735" w:type="dxa"/>
            <w:vMerge w:val="restart"/>
            <w:noWrap w:val="0"/>
            <w:vAlign w:val="center"/>
          </w:tcPr>
          <w:p>
            <w:pPr>
              <w:pStyle w:val="2"/>
              <w:jc w:val="center"/>
              <w:rPr>
                <w:rFonts w:hint="eastAsia" w:ascii="仿宋_GB2312" w:hAnsi="仿宋" w:eastAsia="仿宋_GB2312"/>
                <w:sz w:val="24"/>
                <w:lang w:val="en-US" w:eastAsia="zh-CN"/>
              </w:rPr>
            </w:pPr>
            <w:r>
              <w:rPr>
                <w:rFonts w:hint="eastAsia" w:ascii="仿宋_GB2312" w:eastAsia="仿宋_GB2312"/>
                <w:sz w:val="28"/>
                <w:szCs w:val="28"/>
                <w:lang w:val="en-US" w:eastAsia="zh-CN"/>
              </w:rPr>
              <w:t>数据分析</w:t>
            </w:r>
            <w:r>
              <w:rPr>
                <w:rFonts w:hint="eastAsia" w:ascii="仿宋_GB2312" w:hAnsi="仿宋" w:eastAsia="仿宋_GB2312"/>
                <w:sz w:val="28"/>
                <w:szCs w:val="28"/>
                <w:lang w:val="en-US" w:eastAsia="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434" w:type="dxa"/>
            <w:noWrap w:val="0"/>
            <w:vAlign w:val="center"/>
          </w:tcPr>
          <w:p>
            <w:pPr>
              <w:keepNext w:val="0"/>
              <w:keepLines w:val="0"/>
              <w:widowControl/>
              <w:suppressLineNumbers w:val="0"/>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网店运营推广</w:t>
            </w:r>
          </w:p>
          <w:p>
            <w:pPr>
              <w:pStyle w:val="2"/>
              <w:jc w:val="center"/>
              <w:rPr>
                <w:rFonts w:hint="eastAsia" w:ascii="仿宋_GB2312" w:eastAsia="仿宋_GB2312" w:hAnsiTheme="minorHAnsi" w:cstheme="minorBidi"/>
                <w:kern w:val="2"/>
                <w:sz w:val="28"/>
                <w:szCs w:val="28"/>
                <w:lang w:val="en-US" w:eastAsia="zh-CN" w:bidi="ar-SA"/>
              </w:rPr>
            </w:pPr>
          </w:p>
        </w:tc>
        <w:tc>
          <w:tcPr>
            <w:tcW w:w="1527" w:type="dxa"/>
            <w:noWrap w:val="0"/>
            <w:vAlign w:val="center"/>
          </w:tcPr>
          <w:p>
            <w:pPr>
              <w:pStyle w:val="2"/>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运营经理</w:t>
            </w:r>
          </w:p>
          <w:p>
            <w:pPr>
              <w:pStyle w:val="2"/>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推广专员</w:t>
            </w:r>
          </w:p>
          <w:p>
            <w:pPr>
              <w:pStyle w:val="2"/>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店长</w:t>
            </w:r>
          </w:p>
        </w:tc>
        <w:tc>
          <w:tcPr>
            <w:tcW w:w="2880" w:type="dxa"/>
            <w:noWrap w:val="0"/>
            <w:vAlign w:val="center"/>
          </w:tcPr>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关键词优化（SEO），关键词竞价推广（SEM），市场营销（4P），消费心理和消费行为学，采购管理，财税知识。</w:t>
            </w:r>
          </w:p>
        </w:tc>
        <w:tc>
          <w:tcPr>
            <w:tcW w:w="2496" w:type="dxa"/>
            <w:noWrap w:val="0"/>
            <w:vAlign w:val="center"/>
          </w:tcPr>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网络营销能力</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店铺规划能力</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供应链管理能力</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财务分析能力</w:t>
            </w:r>
          </w:p>
          <w:p>
            <w:pPr>
              <w:keepNext w:val="0"/>
              <w:keepLines w:val="0"/>
              <w:widowControl/>
              <w:suppressLineNumbers w:val="0"/>
              <w:jc w:val="left"/>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团队合作能力</w:t>
            </w:r>
          </w:p>
          <w:p>
            <w:pPr>
              <w:pStyle w:val="2"/>
              <w:jc w:val="left"/>
              <w:rPr>
                <w:rFonts w:hint="eastAsia" w:ascii="仿宋_GB2312" w:eastAsia="仿宋_GB2312" w:hAnsiTheme="minorHAnsi" w:cstheme="minorBidi"/>
                <w:kern w:val="2"/>
                <w:sz w:val="28"/>
                <w:szCs w:val="28"/>
                <w:lang w:val="en-US" w:eastAsia="zh-CN" w:bidi="ar-SA"/>
              </w:rPr>
            </w:pPr>
          </w:p>
        </w:tc>
        <w:tc>
          <w:tcPr>
            <w:tcW w:w="735" w:type="dxa"/>
            <w:vMerge w:val="continue"/>
            <w:noWrap w:val="0"/>
            <w:vAlign w:val="center"/>
          </w:tcPr>
          <w:p>
            <w:pPr>
              <w:rPr>
                <w:rFonts w:hint="eastAsia" w:ascii="宋体" w:hAnsi="宋体"/>
                <w:sz w:val="28"/>
                <w:szCs w:val="28"/>
              </w:rPr>
            </w:pPr>
          </w:p>
        </w:tc>
      </w:tr>
    </w:tbl>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center"/>
      </w:pPr>
      <w:r>
        <w:rPr>
          <w:rFonts w:ascii="仿宋_GB2312" w:hAnsi="仿宋_GB2312" w:eastAsia="仿宋_GB2312" w:cs="仿宋_GB2312"/>
          <w:b/>
          <w:bCs/>
          <w:color w:val="000000"/>
          <w:kern w:val="0"/>
          <w:sz w:val="24"/>
          <w:szCs w:val="24"/>
          <w:lang w:val="en-US" w:eastAsia="zh-CN" w:bidi="ar"/>
        </w:rPr>
        <w:t>表 2 竞赛内容与分值、竞赛方式、竞赛时间</w:t>
      </w:r>
    </w:p>
    <w:tbl>
      <w:tblPr>
        <w:tblStyle w:val="6"/>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3440"/>
        <w:gridCol w:w="1093"/>
        <w:gridCol w:w="1867"/>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450" w:type="dxa"/>
            <w:noWrap w:val="0"/>
            <w:vAlign w:val="center"/>
          </w:tcPr>
          <w:p>
            <w:pPr>
              <w:pStyle w:val="2"/>
              <w:jc w:val="center"/>
              <w:rPr>
                <w:rFonts w:hint="eastAsia" w:ascii="仿宋_GB2312" w:hAnsi="仿宋" w:eastAsia="仿宋_GB2312"/>
                <w:b/>
                <w:sz w:val="24"/>
                <w:lang w:val="en-US" w:eastAsia="zh-CN"/>
              </w:rPr>
            </w:pPr>
            <w:r>
              <w:rPr>
                <w:rFonts w:hint="eastAsia" w:ascii="仿宋_GB2312" w:hAnsi="仿宋" w:eastAsia="仿宋_GB2312"/>
                <w:b/>
                <w:sz w:val="24"/>
                <w:lang w:val="en-US" w:eastAsia="zh-CN"/>
              </w:rPr>
              <w:t>竞赛阶段</w:t>
            </w:r>
          </w:p>
        </w:tc>
        <w:tc>
          <w:tcPr>
            <w:tcW w:w="3440" w:type="dxa"/>
            <w:noWrap w:val="0"/>
            <w:vAlign w:val="center"/>
          </w:tcPr>
          <w:p>
            <w:pPr>
              <w:pStyle w:val="2"/>
              <w:jc w:val="center"/>
              <w:rPr>
                <w:rFonts w:hint="eastAsia" w:ascii="仿宋_GB2312" w:hAnsi="仿宋" w:eastAsia="仿宋_GB2312"/>
                <w:b/>
                <w:sz w:val="24"/>
                <w:lang w:val="en-US" w:eastAsia="zh-CN"/>
              </w:rPr>
            </w:pPr>
            <w:r>
              <w:rPr>
                <w:rFonts w:hint="eastAsia" w:ascii="仿宋_GB2312" w:hAnsi="仿宋" w:eastAsia="仿宋_GB2312"/>
                <w:b/>
                <w:sz w:val="24"/>
                <w:lang w:val="en-US" w:eastAsia="zh-CN"/>
              </w:rPr>
              <w:t>竞赛内容</w:t>
            </w:r>
          </w:p>
        </w:tc>
        <w:tc>
          <w:tcPr>
            <w:tcW w:w="1093" w:type="dxa"/>
            <w:noWrap w:val="0"/>
            <w:vAlign w:val="center"/>
          </w:tcPr>
          <w:p>
            <w:pPr>
              <w:keepNext w:val="0"/>
              <w:keepLines w:val="0"/>
              <w:widowControl/>
              <w:suppressLineNumbers w:val="0"/>
              <w:jc w:val="center"/>
              <w:rPr>
                <w:rFonts w:hint="eastAsia" w:ascii="仿宋_GB2312" w:hAnsi="仿宋" w:eastAsia="仿宋_GB2312" w:cstheme="minorBidi"/>
                <w:b/>
                <w:kern w:val="2"/>
                <w:sz w:val="24"/>
                <w:szCs w:val="24"/>
                <w:lang w:val="en-US" w:eastAsia="zh-CN" w:bidi="ar-SA"/>
              </w:rPr>
            </w:pPr>
          </w:p>
          <w:p>
            <w:pPr>
              <w:keepNext w:val="0"/>
              <w:keepLines w:val="0"/>
              <w:widowControl/>
              <w:suppressLineNumbers w:val="0"/>
              <w:jc w:val="center"/>
              <w:rPr>
                <w:rFonts w:hint="eastAsia" w:ascii="仿宋_GB2312" w:hAnsi="仿宋" w:eastAsia="仿宋_GB2312" w:cstheme="minorBidi"/>
                <w:b/>
                <w:kern w:val="2"/>
                <w:sz w:val="24"/>
                <w:szCs w:val="24"/>
                <w:lang w:val="en-US" w:eastAsia="zh-CN" w:bidi="ar-SA"/>
              </w:rPr>
            </w:pPr>
            <w:r>
              <w:rPr>
                <w:rFonts w:hint="eastAsia" w:ascii="仿宋_GB2312" w:hAnsi="仿宋" w:eastAsia="仿宋_GB2312" w:cstheme="minorBidi"/>
                <w:b/>
                <w:kern w:val="2"/>
                <w:sz w:val="24"/>
                <w:szCs w:val="24"/>
                <w:lang w:val="en-US" w:eastAsia="zh-CN" w:bidi="ar-SA"/>
              </w:rPr>
              <w:t>分值</w:t>
            </w:r>
          </w:p>
          <w:p>
            <w:pPr>
              <w:pStyle w:val="2"/>
              <w:jc w:val="center"/>
              <w:rPr>
                <w:rFonts w:hint="eastAsia" w:ascii="仿宋_GB2312" w:hAnsi="仿宋" w:eastAsia="仿宋_GB2312" w:cstheme="minorBidi"/>
                <w:b/>
                <w:kern w:val="2"/>
                <w:sz w:val="24"/>
                <w:szCs w:val="24"/>
                <w:lang w:val="en-US" w:eastAsia="zh-CN" w:bidi="ar-SA"/>
              </w:rPr>
            </w:pPr>
          </w:p>
        </w:tc>
        <w:tc>
          <w:tcPr>
            <w:tcW w:w="1867" w:type="dxa"/>
            <w:noWrap w:val="0"/>
            <w:vAlign w:val="center"/>
          </w:tcPr>
          <w:p>
            <w:pPr>
              <w:pStyle w:val="2"/>
              <w:jc w:val="center"/>
              <w:rPr>
                <w:rFonts w:hint="eastAsia" w:ascii="仿宋_GB2312" w:hAnsi="仿宋" w:eastAsia="仿宋_GB2312" w:cstheme="minorBidi"/>
                <w:b/>
                <w:kern w:val="2"/>
                <w:sz w:val="24"/>
                <w:szCs w:val="24"/>
                <w:lang w:val="en-US" w:eastAsia="zh-CN" w:bidi="ar-SA"/>
              </w:rPr>
            </w:pPr>
            <w:r>
              <w:rPr>
                <w:rFonts w:hint="eastAsia" w:ascii="仿宋_GB2312" w:hAnsi="仿宋" w:eastAsia="仿宋_GB2312"/>
                <w:b/>
                <w:sz w:val="24"/>
                <w:lang w:val="en-US" w:eastAsia="zh-CN"/>
              </w:rPr>
              <w:t>竞赛方式</w:t>
            </w:r>
          </w:p>
        </w:tc>
        <w:tc>
          <w:tcPr>
            <w:tcW w:w="1419" w:type="dxa"/>
            <w:noWrap w:val="0"/>
            <w:vAlign w:val="center"/>
          </w:tcPr>
          <w:p>
            <w:pPr>
              <w:pStyle w:val="2"/>
              <w:jc w:val="center"/>
              <w:rPr>
                <w:rFonts w:hint="eastAsia" w:ascii="仿宋_GB2312" w:hAnsi="仿宋" w:eastAsia="仿宋_GB2312"/>
                <w:b/>
                <w:sz w:val="24"/>
                <w:lang w:val="en-US" w:eastAsia="zh-CN"/>
              </w:rPr>
            </w:pPr>
            <w:r>
              <w:rPr>
                <w:rFonts w:hint="eastAsia" w:ascii="仿宋_GB2312" w:hAnsi="仿宋" w:eastAsia="仿宋_GB2312"/>
                <w:b/>
                <w:sz w:val="24"/>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450" w:type="dxa"/>
            <w:noWrap w:val="0"/>
            <w:vAlign w:val="center"/>
          </w:tcPr>
          <w:p>
            <w:pPr>
              <w:pStyle w:val="2"/>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第一阶段</w:t>
            </w:r>
          </w:p>
        </w:tc>
        <w:tc>
          <w:tcPr>
            <w:tcW w:w="3440" w:type="dxa"/>
            <w:noWrap w:val="0"/>
            <w:vAlign w:val="center"/>
          </w:tcPr>
          <w:p>
            <w:pPr>
              <w:pStyle w:val="2"/>
              <w:jc w:val="left"/>
              <w:rPr>
                <w:rFonts w:hint="eastAsia" w:ascii="仿宋_GB2312" w:hAnsi="仿宋" w:eastAsia="仿宋_GB2312"/>
                <w:sz w:val="28"/>
                <w:szCs w:val="28"/>
                <w:lang w:val="en-US" w:eastAsia="zh-CN"/>
              </w:rPr>
            </w:pPr>
            <w:r>
              <w:rPr>
                <w:rFonts w:hint="eastAsia" w:ascii="仿宋" w:hAnsi="仿宋" w:eastAsia="仿宋" w:cs="仿宋"/>
                <w:snapToGrid w:val="0"/>
                <w:color w:val="000000"/>
                <w:spacing w:val="-3"/>
                <w:kern w:val="0"/>
                <w:sz w:val="28"/>
                <w:szCs w:val="28"/>
                <w:lang w:val="en-US" w:eastAsia="zh-CN" w:bidi="ar-SA"/>
              </w:rPr>
              <w:t>视觉营销</w:t>
            </w:r>
            <w:r>
              <w:rPr>
                <w:rFonts w:hint="eastAsia" w:ascii="仿宋_GB2312" w:hAnsi="仿宋" w:eastAsia="仿宋_GB2312"/>
                <w:sz w:val="28"/>
                <w:szCs w:val="28"/>
                <w:lang w:val="en-US" w:eastAsia="zh-CN"/>
              </w:rPr>
              <w:t>：</w:t>
            </w:r>
            <w:r>
              <w:rPr>
                <w:rFonts w:hint="eastAsia" w:ascii="仿宋_GB2312" w:eastAsia="仿宋_GB2312"/>
                <w:sz w:val="28"/>
                <w:szCs w:val="28"/>
                <w:lang w:val="en-US" w:eastAsia="zh-CN"/>
              </w:rPr>
              <w:t>开设店铺、制作店标，发挥商品整合能力与视觉营销能力，发掘顾客看点，上架商品，装饰店铺。</w:t>
            </w:r>
          </w:p>
        </w:tc>
        <w:tc>
          <w:tcPr>
            <w:tcW w:w="1093" w:type="dxa"/>
            <w:noWrap w:val="0"/>
            <w:vAlign w:val="center"/>
          </w:tcPr>
          <w:p>
            <w:pPr>
              <w:pStyle w:val="2"/>
              <w:jc w:val="center"/>
              <w:rPr>
                <w:rFonts w:hint="default" w:ascii="仿宋_GB2312" w:hAnsi="仿宋" w:eastAsia="仿宋_GB2312" w:cstheme="minorBidi"/>
                <w:kern w:val="2"/>
                <w:sz w:val="28"/>
                <w:szCs w:val="28"/>
                <w:lang w:val="en-US" w:eastAsia="zh-CN" w:bidi="ar-SA"/>
              </w:rPr>
            </w:pPr>
            <w:r>
              <w:rPr>
                <w:rFonts w:hint="eastAsia" w:ascii="仿宋_GB2312" w:hAnsi="仿宋" w:eastAsia="仿宋_GB2312" w:cstheme="minorBidi"/>
                <w:kern w:val="2"/>
                <w:sz w:val="28"/>
                <w:szCs w:val="28"/>
                <w:lang w:val="en-US" w:eastAsia="zh-CN" w:bidi="ar-SA"/>
              </w:rPr>
              <w:t>50</w:t>
            </w:r>
          </w:p>
        </w:tc>
        <w:tc>
          <w:tcPr>
            <w:tcW w:w="1867" w:type="dxa"/>
            <w:noWrap w:val="0"/>
            <w:vAlign w:val="center"/>
          </w:tcPr>
          <w:p>
            <w:pPr>
              <w:pStyle w:val="2"/>
              <w:jc w:val="center"/>
              <w:rPr>
                <w:rFonts w:hint="eastAsia" w:ascii="仿宋_GB2312" w:hAnsi="仿宋" w:eastAsia="仿宋_GB2312" w:cstheme="minorBidi"/>
                <w:kern w:val="2"/>
                <w:sz w:val="28"/>
                <w:szCs w:val="28"/>
                <w:lang w:val="en-US" w:eastAsia="zh-CN" w:bidi="ar-SA"/>
              </w:rPr>
            </w:pPr>
            <w:r>
              <w:rPr>
                <w:rFonts w:hint="eastAsia" w:ascii="仿宋_GB2312" w:hAnsi="仿宋" w:eastAsia="仿宋_GB2312"/>
                <w:sz w:val="28"/>
                <w:szCs w:val="28"/>
                <w:lang w:val="en-US" w:eastAsia="zh-CN"/>
              </w:rPr>
              <w:t>2人分工合作</w:t>
            </w:r>
          </w:p>
        </w:tc>
        <w:tc>
          <w:tcPr>
            <w:tcW w:w="1419" w:type="dxa"/>
            <w:noWrap w:val="0"/>
            <w:vAlign w:val="center"/>
          </w:tcPr>
          <w:p>
            <w:pPr>
              <w:pStyle w:val="2"/>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1450" w:type="dxa"/>
            <w:noWrap w:val="0"/>
            <w:vAlign w:val="center"/>
          </w:tcPr>
          <w:p>
            <w:pPr>
              <w:pStyle w:val="2"/>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第二阶段</w:t>
            </w:r>
          </w:p>
        </w:tc>
        <w:tc>
          <w:tcPr>
            <w:tcW w:w="3440" w:type="dxa"/>
            <w:noWrap w:val="0"/>
            <w:vAlign w:val="center"/>
          </w:tcPr>
          <w:p>
            <w:pPr>
              <w:pStyle w:val="2"/>
              <w:jc w:val="lef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运营推广，经营分析：</w:t>
            </w:r>
            <w:r>
              <w:rPr>
                <w:rFonts w:hint="eastAsia" w:ascii="仿宋_GB2312" w:eastAsia="仿宋_GB2312"/>
                <w:sz w:val="28"/>
                <w:szCs w:val="28"/>
                <w:lang w:val="en-US" w:eastAsia="zh-CN"/>
              </w:rPr>
              <w:t>各参赛队在同一个模拟市场环境条件下，通过目标市场分析与目标客户选择、网络营销策略组合和财务分析，使企业的效益最大化。</w:t>
            </w:r>
          </w:p>
        </w:tc>
        <w:tc>
          <w:tcPr>
            <w:tcW w:w="1093" w:type="dxa"/>
            <w:noWrap w:val="0"/>
            <w:vAlign w:val="center"/>
          </w:tcPr>
          <w:p>
            <w:pPr>
              <w:pStyle w:val="2"/>
              <w:jc w:val="center"/>
              <w:rPr>
                <w:rFonts w:hint="default" w:ascii="仿宋_GB2312" w:hAnsi="仿宋" w:eastAsia="仿宋_GB2312" w:cstheme="minorBidi"/>
                <w:kern w:val="2"/>
                <w:sz w:val="28"/>
                <w:szCs w:val="28"/>
                <w:lang w:val="en-US" w:eastAsia="zh-CN" w:bidi="ar-SA"/>
              </w:rPr>
            </w:pPr>
            <w:r>
              <w:rPr>
                <w:rFonts w:hint="eastAsia" w:ascii="仿宋_GB2312" w:hAnsi="仿宋" w:eastAsia="仿宋_GB2312" w:cstheme="minorBidi"/>
                <w:kern w:val="2"/>
                <w:sz w:val="28"/>
                <w:szCs w:val="28"/>
                <w:lang w:val="en-US" w:eastAsia="zh-CN" w:bidi="ar-SA"/>
              </w:rPr>
              <w:t>50</w:t>
            </w:r>
          </w:p>
        </w:tc>
        <w:tc>
          <w:tcPr>
            <w:tcW w:w="1867" w:type="dxa"/>
            <w:noWrap w:val="0"/>
            <w:vAlign w:val="center"/>
          </w:tcPr>
          <w:p>
            <w:pPr>
              <w:pStyle w:val="2"/>
              <w:jc w:val="center"/>
              <w:rPr>
                <w:rFonts w:hint="eastAsia" w:ascii="仿宋_GB2312" w:hAnsi="仿宋" w:eastAsia="仿宋_GB2312" w:cstheme="minorBidi"/>
                <w:kern w:val="2"/>
                <w:sz w:val="28"/>
                <w:szCs w:val="28"/>
                <w:lang w:val="en-US" w:eastAsia="zh-CN" w:bidi="ar-SA"/>
              </w:rPr>
            </w:pPr>
            <w:r>
              <w:rPr>
                <w:rFonts w:hint="eastAsia" w:ascii="仿宋_GB2312" w:hAnsi="仿宋" w:eastAsia="仿宋_GB2312"/>
                <w:sz w:val="28"/>
                <w:szCs w:val="28"/>
                <w:lang w:val="en-US" w:eastAsia="zh-CN"/>
              </w:rPr>
              <w:t>2人分工合作</w:t>
            </w:r>
          </w:p>
        </w:tc>
        <w:tc>
          <w:tcPr>
            <w:tcW w:w="1419" w:type="dxa"/>
            <w:noWrap w:val="0"/>
            <w:vAlign w:val="center"/>
          </w:tcPr>
          <w:p>
            <w:pPr>
              <w:pStyle w:val="2"/>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120分钟</w:t>
            </w:r>
          </w:p>
        </w:tc>
      </w:tr>
    </w:tbl>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w:t>
      </w:r>
      <w:r>
        <w:rPr>
          <w:rFonts w:hint="eastAsia" w:ascii="仿宋_GB2312" w:hAnsi="仿宋" w:eastAsia="仿宋_GB2312"/>
          <w:sz w:val="28"/>
          <w:szCs w:val="28"/>
          <w:lang w:val="en-US" w:eastAsia="zh-CN"/>
        </w:rPr>
        <w:t>一</w:t>
      </w:r>
      <w:r>
        <w:rPr>
          <w:rFonts w:hint="eastAsia" w:ascii="宋体" w:hAnsi="宋体" w:eastAsia="宋体" w:cs="宋体"/>
          <w:color w:val="000000"/>
          <w:kern w:val="0"/>
          <w:sz w:val="28"/>
          <w:szCs w:val="28"/>
          <w:lang w:val="en-US" w:eastAsia="zh-CN" w:bidi="ar"/>
        </w:rPr>
        <w:t xml:space="preserve">）视觉营销 </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 xml:space="preserve">情境创设店铺即将要销售拉杆箱、钱包、手拿包、双肩背包、斜挎包五款商品，为了更好地通过视觉营销提升店铺人气，提高商品转化率，现需要结合视觉营销元素，完成五款商品的视觉营销。其中拉杆箱、手拿包、双肩背包、斜挎包四款商品只做 Banner 图，每款商品均提供素材图片，包括商品整体展示图、细节展示图等；钱包这款商品需要做主图和详情页，提供素材图片，包括商品整体展示图、细节展示图、商品评价等。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五款商品的介绍如下：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（1）拉杆箱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拉杆箱是具有拉杆和滚轮的行李箱，通常用来放置旅途所需要的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衣物等个人用品，有单管拉杆及双管拉杆之分，尤其适合于需要远途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旅行，或者自驾游的人群，可以大大减轻行走的负担。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（2）钱包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钱包可用于装钱或者其他小件物品，便于随身携带使用，通常有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巴掌大小，如今钱包除了以上作用外还可以是随身装饰品或当做家庭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照片夹使用。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（3）手拿包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手拿包一般比较小巧，以商业人士使用居多，给人一种绅士并且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诚信、专业的感觉，手拿包也方便生意人携带自己的名片、银行卡、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手机、驾驶证件、钥匙等。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（4）双肩背包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双肩背包可以用于装行李等小物件，也被广泛当做运动旅行包使用。根据双肩包不同的用途可分为双肩电脑背包、运动双肩包、时尚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双肩包等，根据材质的不同可分为帆布包、牛津布包、尼龙布包等。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（5）斜挎包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斜挎包方便而且大方，可跟随人们出入各种场合，斜挎包的结构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设计决定包的实用、耐用、舒适等很多方面的性能，长度一般会到臀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部的位置，放短点也可把包包搭在腰部。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1、店标(logo)、店招设计与制作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店标（Logo）、店招大小适宜、比例精准、没有压缩变形，能体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现店铺所销售的商品，设计独特，具有一定的创新性。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1）移动电商店铺要求：制作 1 张尺寸为 100*100 像素、大小不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超过 80K 的图片作为店标；制作 1 张尺寸为 642*200 像素、大小不超过 200K 的图片作为店招。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2）网店 Banner 设计与制作Banner 主题与店铺所经营的商品具有相关性；设计具有吸引力和营销导向；设计规格符合要求。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1）移动电商店铺要求：制作 1 张尺寸为 608*304 像素、大小不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超过 150K 的图片</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（5）商品详情页设计与制作 </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 xml:space="preserve">商品描述中需包含商品信息（图片、文本或图文混排）、商品展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示（图片）、促销信息、支付与配送信息、售后信息、评价等。体现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该商品的适用人群，及对该类人群有何种价值与优势；商品信息中可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以允许以促销为目的宣传用语，但不允许过分夸张。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1）移动电商店铺要求：商品详情页所有图片总大小不能超过1536K；图片建议宽度为 480～620 像素、高度不超过 960 像素；当在图片上添加文字时，建议中文字体大于等于 30 号字，英文和阿拉伯数字大于等于 20 号字；若添加文字内容较多，可使用纯文本的方式进行编辑。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（三）网店运营推广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1.情境创设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参赛团队在给定的运营推广预算范围内，在相同的竞争环境下，分析市场数据，做好区域、商品、人群定位；租赁办公场所，建立配送中心，装修网店，采购商品；根据数据魔方进行搜索引擎优化（SEO）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操作、获取尽可能多的自然流量，进行关键词竞价（SEM）推广、获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取尽可能多的付费流量，进行站外推广（电视广告、网盟、百度竞价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排名）获取尽可能多的站外流量，引导买家进店消费；针对不同消费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人群采取不同策略，制定商品价格，促成交易，提升转化率；处理订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单，配送商品，结算资金；规划资金需求，控制成本，分析财务指标，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调整策略，创造最大利润。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（1）市场数据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市场数据提供市场需求数据和关键词数据。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市场需求数据包括期初 4 类以及以后的十几类商品在 15 个城市中 种人群的需求量和市场平均价格。卖家根据市场需求数据，分析热销商品，以尽可能低的价格采购商品；分析买家区域分布，就近建立配送中心；确定目标人群，推出团购、秒杀、套餐、促销等优惠活动，促成交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关键词数据提供买家搜索的关键词展现量、点击量、点击率、转化量、转化率、平均点击单价、搜索相关性等信息。根据关键词数据，判断“买家怎么来”。买家通过搜索关键词来寻找所需要的商品，一方面卖家通过优化标题的关键词尽可能匹配买家搜索的关键词，即SEO，属于自然流量；另一方面卖家通过设置与推广商品相关的关键词和点击价格，在买家搜索相应关键词时获得推广商品展现与点击，卖家按照所获流量（点击数）付费，进行商品精准推广，即 SEM，属于付费流量。卖家通过 SEO 和 SEM 引导买家进店消费。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（2）采购中标规则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只能在有配送中心的城市进行投标。采购投标时，同一种商品投标单价高的成交，直到所有商品全部成交为止。如果竞标价格相同，则与供应商的关系值高的优先成交；如果竞标价格相同，与供应商的关系值也相同，则媒体影响力高的优先成交；继续比较社会慈善，销售额，投标提交的先后顺序来依次交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（3）物流运费设置规则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发布商品时卖家可以选择卖家承担运费或买家承担运费。买家承担运费时，卖家可以创建运费模板或者直接输入各种物流方式的物流运费，买家会将商品一口价和物流运费一同支付给卖家；但卖家可以采用任意物流方式运输（只要在买家规定的时间内送达，否则将承担退单的违约责任），配送完成后由卖家支付物流公司的实际运费。卖家承担运费时，买家只需将商品一口价支付给卖家，配送完成后由卖家支付物流公司的实际运费。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创建运费模板时，卖家可分别设置各种物流方式的默认运费及每超过一件需要增加的运费；每超过一件需要增加的运费不能高于默认运费的 0.5 倍；直接输入各种物流方式的物流运费时，此物流运费为整单（若干件）的物流运费。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（4）SEO 优化规则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每种商品最多可以选择 7 个标题关键词，通过优化标题关键词尽可能匹配买家搜索的关键词，在买家搜索某个关键词时，展示与该关键词相关的商品，并取得靠前的自然排名。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SEO 排名得分=关键词相关性（数据魔方提供）*SEO 关键词匹配方式得分*0.4+商品绩效得分*0.06。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SEO 关键词匹配方式分为：完全匹配、高度匹配、部分匹配。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只有当买家搜索的词与卖家设置的标题关键词完全相同时称为完全匹配，SEO 关键词匹配方式得分为 1；当买家搜索的词是卖家设置的标题关键词的子集时称为高度匹配，SEO 关键词匹配方式得分为0.5；当买家搜索的词与卖家设置的标题关键词文字部分匹配时称为部分匹配，SEO 关键词匹配方式得分为 0.2。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例如，卖家标题关键词设置为“韩版 棉衣”，三种匹配方式如下：买家搜索关键词为“韩版 棉衣”时，匹配方式为完全匹配；买家搜索关键词为“韩版”或“棉衣”时，匹配方式为高度匹配；买家搜索关键词为“男款 棉衣”或“韩版 外套”这一类型词时，匹配方式为部分匹配。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商品绩效：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商品绩效得分（总分 100）=商品点击率得分+商品点击量得分+商品转化率得分+商品转化量得分+退单率得分+保修得分。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商品展现量：该商品被展现的次数。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商品点击量：该商品被点击的次数。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商品点击率：商品点击量/商品展现量。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商品转化量：该商品最终达成的成交单数。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商品转化率：商品转化量/商品点击量。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商品退单量：该商品累计退单的数量。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商品退单率：商品退单量/商品成交量（订单数）。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保修：售后服务类型，会产生售后服务费用。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（5）SEM 推广规则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通过对自己所销售商品相关的关键词出具一定的竞价价格，在买家搜索其中某个关键词时，展示与该关键词相关的商品，并取得靠前的搜索排名。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SEM 排名得分=质量分*竞价价格。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质量分=关键词搜索相关性*0.4+商品绩效*0.06。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竞价价格：为取得靠前的排名为某关键词所出的一次点击的价格。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卖家实际为某个 SEM 关键词的一次点击支付的费用=该关键词排名下一名的竞价价格*（下一名的质量得分/本组的质量得分）+0.01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例如，一个卖家 A 与卖家 B 都选取了“办公家具”这个关键词做SEM 推广，且在该关键词的搜索排名中卖家 A 排名第一，卖家 B 排名第二。卖家 A 竞价价格为 1.5，卖家 B 竞价价格为 1。卖家 A 该词质量分 10 分，卖家 B 该词质量分 8 分。则卖家 A 实际为该关键词一次点击支付的费用=1*（8 分/10 分）+0.01=0.81 元。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SEM 关键词匹配方式分为：精确匹配、中心匹配、广泛匹配。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精确匹配是卖家投放的关键词与买家搜索的关键词完全相同才能被搜索到；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中心匹配是指卖家投放的关键词是买家搜索的关键词的子集时也能被搜索到；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广泛匹配是指卖家投放的关键词与买家搜索的关键词有一部分相同即可被搜索到。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例如：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设置为精确匹配时，卖家投放“棉衣”，买家搜索“棉衣”时可搜索到卖家；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设置为中心匹配时，卖家投放“棉衣”，买家搜索“韩版 棉衣”也可搜索到卖家；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设置为广泛匹配时，卖家投放“韩版 棉衣”，买家搜索“韩版”或“短款 棉衣”时可搜索到卖家。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（6）SEM 管理规则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每个推广组对应一个商品，但是每个商品可以对应多个推广组，所以针对同一个商品的不同关键词设定不同的竞价价格可以更好地达到 SEM 推广效果。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（7）营销活动设置规则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团购：团购价格=商品价格×团购折扣。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秒杀：秒杀价格=商品价格×50%。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套餐：套餐可组合多种商品搭配出售，套餐价格=套餐包含商品的单价总和。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促销：满就送、多买折扣、买第几件折扣促销。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（8）资金借贷规则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短贷利率：5%，民间融资利率：15%，长期贷款利率：10%。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（9）信誉度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获得订单后，在客户的需求期限内正常交货，获得 1 的信誉度；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违约第 1 单，获得－1 的信誉度，违约第 2 单获得－2 的信誉度，依次类推，违约的第 N 单获得－N 的信誉度。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信誉度为负后无法获得来自综合人群、品牌人群的订单。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3.任务设计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（1）办公场所设立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选手可以根据市场数据分析，进行办公场所设立，包含选择办公城市、选择办公场所类型和招贤纳士三部分；根据不同城市的城市影响力、租金差、工资差等信息选择合适的办公城市；根据办公场所的容纳人数、租赁价格、维修费用等信息选择合适的办公场所；根据员工的业务能力、工资增长率及基本工资选择合适的人员。</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（2）配送中心设立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选手可以根据体积、租赁价格、维修费用、管理费用及搬迁费用选择合适的配送中心，并为每个配送中心设置默认的配送区域及默认的物流方式。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（3）店铺开设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选手可以根据运营策略开设 C 店和 B 店，其中 B 店筹备周期需要4 期，每期费用为 60。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（4）网店装修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选手可以根据运营策略，对网店进行装修，装修可以增加视觉值，每种装修费用不同，获得的视觉值也不同。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（5）采购投标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选手可以根据采购预算，制定采购投标方案进行投标，为店铺采购所需要的商品。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（6）商品入库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选手可以根据目标人群所在区域，对采购到的商品进行入库，以提高配送时效，降低配送成本。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（7）商品发布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选手可以对商品进行发布，主要包括设置商品基本信息、采用适合的定价策略进行定价、设置运费模板以及售后服务等。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（8）SEO 优化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选手可以根据市场数据分析，优化商品的标题关键词，以尽可能匹配买家搜索的关键词，在买家搜索某个关键词时，展示与该关键词相关的商品，并取得靠前的自然排名。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（9）SEM 推广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选手可以能够通过对自己所销售商品相关的关键词出具一定的竞价价格，在买家搜索其中某个关键词时，展示与该关键词相关的商品，并取得靠前的搜索排名。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（10）营销活动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选手可以根据目标人群特点，针对性制定营销活动，包括团购、秒杀、套餐、促销等，以提高店铺的转化率。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（11）站外推广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选手可以通过站外流量（电视广告、网盟、百度竞价排名等渠道）来获取新的订单。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（12）订单分发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选手可以根据实际运营情况，对订单进行分发处理，分为手动分发和自动分发两种。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（13）物流选择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选手可以根据运营需求，为不同订单选择不同的物流方式。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（14）货物出库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选手可以根据订单的到货周期，合理安排商品出库。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（15）财务处理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选手根据运营状况，选择以不同的方式进行资金借贷，并支付人员工资、租赁费、管理费、维修费、应交税费等。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4.赛题答案以参赛选手的“所有者权益”为主，企业可持续性经营能力为辅计算经营得分，每个赛场根据各队的经营得分进行排序，第一名 50分，按照名次递减5 分，第二名 45分依次类推。</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四、竞赛方式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(一)竞赛形式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cs="仿宋"/>
          <w:snapToGrid w:val="0"/>
          <w:color w:val="000000"/>
          <w:spacing w:val="5"/>
          <w:kern w:val="0"/>
          <w:sz w:val="32"/>
          <w:szCs w:val="32"/>
          <w:lang w:val="en-US" w:eastAsia="zh-CN" w:bidi="ar-SA"/>
        </w:rPr>
        <w:t>电子商务技能</w:t>
      </w:r>
      <w:r>
        <w:rPr>
          <w:rFonts w:hint="eastAsia" w:ascii="仿宋" w:hAnsi="仿宋" w:eastAsia="仿宋" w:cs="仿宋"/>
          <w:snapToGrid w:val="0"/>
          <w:color w:val="000000"/>
          <w:spacing w:val="5"/>
          <w:kern w:val="0"/>
          <w:sz w:val="32"/>
          <w:szCs w:val="32"/>
          <w:lang w:val="en-US" w:eastAsia="zh-CN" w:bidi="ar-SA"/>
        </w:rPr>
        <w:t>赛项将采取线下赛形式进行竞赛。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(二)组队方式</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cs="仿宋"/>
          <w:snapToGrid w:val="0"/>
          <w:color w:val="000000"/>
          <w:spacing w:val="5"/>
          <w:kern w:val="0"/>
          <w:sz w:val="32"/>
          <w:szCs w:val="32"/>
          <w:lang w:val="en-US" w:eastAsia="zh-CN" w:bidi="ar-SA"/>
        </w:rPr>
        <w:t>电子商务技能</w:t>
      </w:r>
      <w:r>
        <w:rPr>
          <w:rFonts w:hint="eastAsia" w:ascii="仿宋" w:hAnsi="仿宋" w:eastAsia="仿宋" w:cs="仿宋"/>
          <w:snapToGrid w:val="0"/>
          <w:color w:val="000000"/>
          <w:spacing w:val="5"/>
          <w:kern w:val="0"/>
          <w:sz w:val="32"/>
          <w:szCs w:val="32"/>
          <w:lang w:val="en-US" w:eastAsia="zh-CN" w:bidi="ar-SA"/>
        </w:rPr>
        <w:t>赛项组队方式为团队赛。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五、竞赛流程</w:t>
      </w:r>
    </w:p>
    <w:tbl>
      <w:tblPr>
        <w:tblStyle w:val="9"/>
        <w:tblW w:w="8758" w:type="dxa"/>
        <w:tblInd w:w="2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3"/>
        <w:gridCol w:w="1654"/>
        <w:gridCol w:w="2034"/>
        <w:gridCol w:w="2031"/>
        <w:gridCol w:w="2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2467" w:type="dxa"/>
            <w:gridSpan w:val="2"/>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04" w:firstLineChars="136"/>
              <w:jc w:val="center"/>
              <w:textAlignment w:val="baseline"/>
              <w:rPr>
                <w:rFonts w:hint="eastAsia" w:ascii="仿宋" w:hAnsi="仿宋" w:eastAsia="仿宋" w:cs="仿宋"/>
                <w:sz w:val="24"/>
                <w:szCs w:val="24"/>
              </w:rPr>
            </w:pPr>
            <w:r>
              <w:rPr>
                <w:rFonts w:hint="eastAsia" w:ascii="仿宋" w:hAnsi="仿宋" w:eastAsia="仿宋" w:cs="仿宋"/>
                <w:spacing w:val="-8"/>
                <w:sz w:val="24"/>
                <w:szCs w:val="24"/>
                <w14:textOutline w14:w="4354" w14:cap="flat" w14:cmpd="sng">
                  <w14:solidFill>
                    <w14:srgbClr w14:val="000000"/>
                  </w14:solidFill>
                  <w14:prstDash w14:val="solid"/>
                  <w14:miter w14:val="0"/>
                </w14:textOutline>
              </w:rPr>
              <w:t>时间</w:t>
            </w:r>
          </w:p>
        </w:tc>
        <w:tc>
          <w:tcPr>
            <w:tcW w:w="2034"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5" w:firstLineChars="136"/>
              <w:jc w:val="center"/>
              <w:textAlignment w:val="baseline"/>
              <w:rPr>
                <w:rFonts w:hint="eastAsia" w:ascii="仿宋" w:hAnsi="仿宋" w:eastAsia="仿宋" w:cs="仿宋"/>
                <w:sz w:val="24"/>
                <w:szCs w:val="24"/>
              </w:rPr>
            </w:pPr>
            <w:r>
              <w:rPr>
                <w:rFonts w:hint="eastAsia" w:ascii="仿宋" w:hAnsi="仿宋" w:eastAsia="仿宋" w:cs="仿宋"/>
                <w:spacing w:val="-4"/>
                <w:sz w:val="24"/>
                <w:szCs w:val="24"/>
                <w14:textOutline w14:w="4354" w14:cap="flat" w14:cmpd="sng">
                  <w14:solidFill>
                    <w14:srgbClr w14:val="000000"/>
                  </w14:solidFill>
                  <w14:prstDash w14:val="solid"/>
                  <w14:miter w14:val="0"/>
                </w14:textOutline>
              </w:rPr>
              <w:t>流程</w:t>
            </w:r>
          </w:p>
        </w:tc>
        <w:tc>
          <w:tcPr>
            <w:tcW w:w="2031"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296" w:firstLineChars="136"/>
              <w:jc w:val="center"/>
              <w:textAlignment w:val="baseline"/>
              <w:rPr>
                <w:rFonts w:hint="eastAsia" w:ascii="仿宋" w:hAnsi="仿宋" w:eastAsia="仿宋" w:cs="仿宋"/>
                <w:sz w:val="24"/>
                <w:szCs w:val="24"/>
              </w:rPr>
            </w:pPr>
            <w:r>
              <w:rPr>
                <w:rFonts w:hint="eastAsia" w:ascii="仿宋" w:hAnsi="仿宋" w:eastAsia="仿宋" w:cs="仿宋"/>
                <w:spacing w:val="-11"/>
                <w:sz w:val="24"/>
                <w:szCs w:val="24"/>
                <w14:textOutline w14:w="4354" w14:cap="flat" w14:cmpd="sng">
                  <w14:solidFill>
                    <w14:srgbClr w14:val="000000"/>
                  </w14:solidFill>
                  <w14:prstDash w14:val="solid"/>
                  <w14:miter w14:val="0"/>
                </w14:textOutline>
              </w:rPr>
              <w:t>内容</w:t>
            </w:r>
          </w:p>
        </w:tc>
        <w:tc>
          <w:tcPr>
            <w:tcW w:w="22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5" w:firstLineChars="136"/>
              <w:jc w:val="center"/>
              <w:textAlignment w:val="baseline"/>
              <w:rPr>
                <w:rFonts w:hint="eastAsia" w:ascii="仿宋" w:hAnsi="仿宋" w:eastAsia="仿宋" w:cs="仿宋"/>
                <w:sz w:val="24"/>
                <w:szCs w:val="24"/>
              </w:rPr>
            </w:pPr>
            <w:r>
              <w:rPr>
                <w:rFonts w:hint="eastAsia" w:ascii="仿宋" w:hAnsi="仿宋" w:eastAsia="仿宋" w:cs="仿宋"/>
                <w:spacing w:val="-4"/>
                <w:sz w:val="24"/>
                <w:szCs w:val="24"/>
                <w14:textOutline w14:w="4354"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13" w:type="dxa"/>
            <w:tcBorders>
              <w:top w:val="single" w:color="auto" w:sz="4" w:space="0"/>
              <w:left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8"/>
                <w:szCs w:val="28"/>
                <w:lang w:val="en-US" w:eastAsia="en-US" w:bidi="ar-SA"/>
              </w:rPr>
            </w:pPr>
            <w:r>
              <w:rPr>
                <w:rFonts w:hint="eastAsia" w:ascii="仿宋" w:hAnsi="仿宋" w:eastAsia="仿宋" w:cs="仿宋"/>
                <w:snapToGrid w:val="0"/>
                <w:color w:val="000000"/>
                <w:spacing w:val="-3"/>
                <w:kern w:val="0"/>
                <w:sz w:val="28"/>
                <w:szCs w:val="28"/>
                <w:lang w:val="en-US" w:eastAsia="en-US" w:bidi="ar-SA"/>
              </w:rPr>
              <w:t>赛前</w:t>
            </w:r>
          </w:p>
        </w:tc>
        <w:tc>
          <w:tcPr>
            <w:tcW w:w="1654" w:type="dxa"/>
            <w:vMerge w:val="restar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8"/>
                <w:szCs w:val="28"/>
                <w:lang w:val="en-US" w:eastAsia="zh-CN" w:bidi="ar-SA"/>
              </w:rPr>
            </w:pPr>
            <w:r>
              <w:rPr>
                <w:rFonts w:hint="eastAsia" w:ascii="仿宋" w:hAnsi="仿宋" w:eastAsia="仿宋" w:cs="仿宋"/>
                <w:snapToGrid w:val="0"/>
                <w:color w:val="000000"/>
                <w:spacing w:val="-3"/>
                <w:kern w:val="0"/>
                <w:sz w:val="28"/>
                <w:szCs w:val="28"/>
                <w:lang w:val="en-US" w:eastAsia="zh-CN" w:bidi="ar-SA"/>
              </w:rPr>
              <w:t>2024.5.10</w:t>
            </w:r>
          </w:p>
        </w:tc>
        <w:tc>
          <w:tcPr>
            <w:tcW w:w="2034"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仿宋" w:hAnsi="仿宋" w:eastAsia="仿宋" w:cs="仿宋"/>
                <w:snapToGrid w:val="0"/>
                <w:color w:val="000000"/>
                <w:spacing w:val="-3"/>
                <w:kern w:val="0"/>
                <w:sz w:val="28"/>
                <w:szCs w:val="28"/>
                <w:lang w:val="en-US" w:eastAsia="zh-CN" w:bidi="ar-SA"/>
              </w:rPr>
            </w:pPr>
            <w:r>
              <w:rPr>
                <w:rFonts w:hint="eastAsia" w:ascii="仿宋" w:hAnsi="仿宋" w:eastAsia="仿宋" w:cs="仿宋"/>
                <w:snapToGrid w:val="0"/>
                <w:color w:val="000000"/>
                <w:spacing w:val="-3"/>
                <w:kern w:val="0"/>
                <w:sz w:val="28"/>
                <w:szCs w:val="28"/>
                <w:lang w:val="en-US" w:eastAsia="en-US" w:bidi="ar-SA"/>
              </w:rPr>
              <w:t>参赛队</w:t>
            </w:r>
            <w:r>
              <w:rPr>
                <w:rFonts w:hint="eastAsia" w:ascii="仿宋" w:hAnsi="仿宋" w:eastAsia="仿宋" w:cs="仿宋"/>
                <w:snapToGrid w:val="0"/>
                <w:color w:val="000000"/>
                <w:spacing w:val="-3"/>
                <w:kern w:val="0"/>
                <w:sz w:val="28"/>
                <w:szCs w:val="28"/>
                <w:lang w:val="en-US" w:eastAsia="zh-CN" w:bidi="ar-SA"/>
              </w:rPr>
              <w:t>参观考场</w:t>
            </w:r>
          </w:p>
        </w:tc>
        <w:tc>
          <w:tcPr>
            <w:tcW w:w="2031" w:type="dxa"/>
            <w:tcBorders>
              <w:top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8"/>
                <w:szCs w:val="28"/>
                <w:lang w:val="en-US" w:eastAsia="en-US" w:bidi="ar-SA"/>
              </w:rPr>
            </w:pPr>
            <w:r>
              <w:rPr>
                <w:rFonts w:hint="eastAsia" w:ascii="仿宋" w:hAnsi="仿宋" w:eastAsia="仿宋" w:cs="仿宋"/>
                <w:snapToGrid w:val="0"/>
                <w:color w:val="000000"/>
                <w:spacing w:val="-3"/>
                <w:kern w:val="0"/>
                <w:sz w:val="28"/>
                <w:szCs w:val="28"/>
                <w:lang w:val="en-US" w:eastAsia="en-US" w:bidi="ar-SA"/>
              </w:rPr>
              <w:t>参赛队熟悉场地</w:t>
            </w:r>
          </w:p>
        </w:tc>
        <w:tc>
          <w:tcPr>
            <w:tcW w:w="222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8"/>
                <w:szCs w:val="28"/>
                <w:lang w:val="en-US" w:eastAsia="en-US" w:bidi="ar-SA"/>
              </w:rPr>
            </w:pPr>
            <w:r>
              <w:rPr>
                <w:rFonts w:hint="eastAsia" w:ascii="仿宋" w:hAnsi="仿宋" w:eastAsia="仿宋" w:cs="仿宋"/>
                <w:snapToGrid w:val="0"/>
                <w:color w:val="000000"/>
                <w:spacing w:val="-3"/>
                <w:kern w:val="0"/>
                <w:sz w:val="28"/>
                <w:szCs w:val="28"/>
                <w:lang w:val="en-US" w:eastAsia="zh-CN" w:bidi="ar-SA"/>
              </w:rPr>
              <w:t>9</w:t>
            </w:r>
            <w:r>
              <w:rPr>
                <w:rFonts w:hint="eastAsia" w:ascii="仿宋" w:hAnsi="仿宋" w:eastAsia="仿宋" w:cs="仿宋"/>
                <w:snapToGrid w:val="0"/>
                <w:color w:val="000000"/>
                <w:spacing w:val="-3"/>
                <w:kern w:val="0"/>
                <w:sz w:val="28"/>
                <w:szCs w:val="28"/>
                <w:lang w:val="en-US" w:eastAsia="en-US" w:bidi="ar-SA"/>
              </w:rPr>
              <w:t>：00-1</w:t>
            </w:r>
            <w:r>
              <w:rPr>
                <w:rFonts w:hint="eastAsia" w:ascii="仿宋" w:hAnsi="仿宋" w:eastAsia="仿宋" w:cs="仿宋"/>
                <w:snapToGrid w:val="0"/>
                <w:color w:val="000000"/>
                <w:spacing w:val="-3"/>
                <w:kern w:val="0"/>
                <w:sz w:val="28"/>
                <w:szCs w:val="28"/>
                <w:lang w:val="en-US" w:eastAsia="zh-CN" w:bidi="ar-SA"/>
              </w:rPr>
              <w:t>1</w:t>
            </w:r>
            <w:r>
              <w:rPr>
                <w:rFonts w:hint="eastAsia" w:ascii="仿宋" w:hAnsi="仿宋" w:eastAsia="仿宋" w:cs="仿宋"/>
                <w:snapToGrid w:val="0"/>
                <w:color w:val="000000"/>
                <w:spacing w:val="-3"/>
                <w:kern w:val="0"/>
                <w:sz w:val="28"/>
                <w:szCs w:val="28"/>
                <w:lang w:val="en-US" w:eastAsia="en-US" w:bidi="ar-SA"/>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13" w:type="dxa"/>
            <w:vMerge w:val="restar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仿宋" w:hAnsi="仿宋" w:eastAsia="仿宋" w:cs="仿宋"/>
                <w:snapToGrid w:val="0"/>
                <w:color w:val="000000"/>
                <w:spacing w:val="-3"/>
                <w:kern w:val="0"/>
                <w:sz w:val="28"/>
                <w:szCs w:val="28"/>
                <w:lang w:val="en-US" w:eastAsia="en-US" w:bidi="ar-SA"/>
              </w:rPr>
            </w:pPr>
            <w:r>
              <w:rPr>
                <w:rFonts w:hint="eastAsia" w:ascii="仿宋" w:hAnsi="仿宋" w:eastAsia="仿宋" w:cs="仿宋"/>
                <w:snapToGrid w:val="0"/>
                <w:color w:val="000000"/>
                <w:spacing w:val="-3"/>
                <w:kern w:val="0"/>
                <w:sz w:val="28"/>
                <w:szCs w:val="28"/>
                <w:lang w:val="en-US" w:eastAsia="en-US" w:bidi="ar-SA"/>
              </w:rPr>
              <w:t>赛中</w:t>
            </w:r>
          </w:p>
        </w:tc>
        <w:tc>
          <w:tcPr>
            <w:tcW w:w="1654"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72" w:firstLineChars="136"/>
              <w:jc w:val="center"/>
              <w:textAlignment w:val="baseline"/>
              <w:rPr>
                <w:rFonts w:hint="eastAsia" w:ascii="仿宋" w:hAnsi="仿宋" w:eastAsia="仿宋" w:cs="仿宋"/>
                <w:snapToGrid w:val="0"/>
                <w:color w:val="000000"/>
                <w:spacing w:val="-3"/>
                <w:kern w:val="0"/>
                <w:sz w:val="28"/>
                <w:szCs w:val="28"/>
                <w:lang w:val="en-US" w:eastAsia="en-US" w:bidi="ar-SA"/>
              </w:rPr>
            </w:pPr>
          </w:p>
        </w:tc>
        <w:tc>
          <w:tcPr>
            <w:tcW w:w="2034"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仿宋" w:hAnsi="仿宋" w:eastAsia="仿宋" w:cs="仿宋"/>
                <w:snapToGrid w:val="0"/>
                <w:color w:val="000000"/>
                <w:spacing w:val="-3"/>
                <w:kern w:val="0"/>
                <w:sz w:val="28"/>
                <w:szCs w:val="28"/>
                <w:lang w:val="en-US" w:eastAsia="zh-CN" w:bidi="ar-SA"/>
              </w:rPr>
            </w:pPr>
            <w:r>
              <w:rPr>
                <w:rFonts w:hint="eastAsia" w:ascii="仿宋" w:hAnsi="仿宋" w:eastAsia="仿宋" w:cs="仿宋"/>
                <w:snapToGrid w:val="0"/>
                <w:color w:val="000000"/>
                <w:spacing w:val="-3"/>
                <w:kern w:val="0"/>
                <w:sz w:val="28"/>
                <w:szCs w:val="28"/>
                <w:lang w:val="en-US" w:eastAsia="en-US" w:bidi="ar-SA"/>
              </w:rPr>
              <w:t>第一</w:t>
            </w:r>
            <w:r>
              <w:rPr>
                <w:rFonts w:hint="eastAsia" w:ascii="仿宋" w:hAnsi="仿宋" w:eastAsia="仿宋" w:cs="仿宋"/>
                <w:snapToGrid w:val="0"/>
                <w:color w:val="000000"/>
                <w:spacing w:val="-3"/>
                <w:kern w:val="0"/>
                <w:sz w:val="28"/>
                <w:szCs w:val="28"/>
                <w:lang w:val="en-US" w:eastAsia="zh-CN" w:bidi="ar-SA"/>
              </w:rPr>
              <w:t>阶段</w:t>
            </w:r>
          </w:p>
        </w:tc>
        <w:tc>
          <w:tcPr>
            <w:tcW w:w="2031"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jc w:val="both"/>
              <w:textAlignment w:val="baseline"/>
              <w:rPr>
                <w:rFonts w:hint="default" w:ascii="仿宋" w:hAnsi="仿宋" w:eastAsia="仿宋" w:cs="仿宋"/>
                <w:snapToGrid w:val="0"/>
                <w:color w:val="000000"/>
                <w:spacing w:val="-3"/>
                <w:kern w:val="0"/>
                <w:sz w:val="28"/>
                <w:szCs w:val="28"/>
                <w:lang w:val="en-US" w:eastAsia="zh-CN" w:bidi="ar-SA"/>
              </w:rPr>
            </w:pPr>
            <w:r>
              <w:rPr>
                <w:rFonts w:hint="eastAsia" w:ascii="仿宋" w:hAnsi="仿宋" w:eastAsia="仿宋" w:cs="仿宋"/>
                <w:snapToGrid w:val="0"/>
                <w:color w:val="000000"/>
                <w:spacing w:val="-3"/>
                <w:kern w:val="0"/>
                <w:sz w:val="28"/>
                <w:szCs w:val="28"/>
                <w:lang w:val="en-US" w:eastAsia="zh-CN" w:bidi="ar-SA"/>
              </w:rPr>
              <w:t>视觉营销</w:t>
            </w:r>
          </w:p>
        </w:tc>
        <w:tc>
          <w:tcPr>
            <w:tcW w:w="22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8"/>
                <w:szCs w:val="28"/>
                <w:lang w:val="en-US" w:eastAsia="en-US" w:bidi="ar-SA"/>
              </w:rPr>
            </w:pPr>
            <w:r>
              <w:rPr>
                <w:rFonts w:hint="eastAsia" w:ascii="仿宋" w:hAnsi="仿宋" w:eastAsia="仿宋" w:cs="仿宋"/>
                <w:snapToGrid w:val="0"/>
                <w:color w:val="000000"/>
                <w:spacing w:val="-3"/>
                <w:kern w:val="0"/>
                <w:sz w:val="28"/>
                <w:szCs w:val="28"/>
                <w:lang w:val="en-US" w:eastAsia="zh-CN" w:bidi="ar-SA"/>
              </w:rPr>
              <w:t>14</w:t>
            </w:r>
            <w:r>
              <w:rPr>
                <w:rFonts w:hint="eastAsia" w:ascii="仿宋" w:hAnsi="仿宋" w:eastAsia="仿宋" w:cs="仿宋"/>
                <w:snapToGrid w:val="0"/>
                <w:color w:val="000000"/>
                <w:spacing w:val="-3"/>
                <w:kern w:val="0"/>
                <w:sz w:val="28"/>
                <w:szCs w:val="28"/>
                <w:lang w:val="en-US" w:eastAsia="en-US" w:bidi="ar-SA"/>
              </w:rPr>
              <w:t>:</w:t>
            </w:r>
            <w:r>
              <w:rPr>
                <w:rFonts w:hint="eastAsia" w:ascii="仿宋" w:hAnsi="仿宋" w:eastAsia="仿宋" w:cs="仿宋"/>
                <w:snapToGrid w:val="0"/>
                <w:color w:val="000000"/>
                <w:spacing w:val="-3"/>
                <w:kern w:val="0"/>
                <w:sz w:val="28"/>
                <w:szCs w:val="28"/>
                <w:lang w:val="en-US" w:eastAsia="zh-CN" w:bidi="ar-SA"/>
              </w:rPr>
              <w:t>0</w:t>
            </w:r>
            <w:r>
              <w:rPr>
                <w:rFonts w:hint="eastAsia" w:ascii="仿宋" w:hAnsi="仿宋" w:eastAsia="仿宋" w:cs="仿宋"/>
                <w:snapToGrid w:val="0"/>
                <w:color w:val="000000"/>
                <w:spacing w:val="-3"/>
                <w:kern w:val="0"/>
                <w:sz w:val="28"/>
                <w:szCs w:val="28"/>
                <w:lang w:val="en-US" w:eastAsia="en-US" w:bidi="ar-SA"/>
              </w:rPr>
              <w:t>0-</w:t>
            </w:r>
            <w:r>
              <w:rPr>
                <w:rFonts w:hint="eastAsia" w:ascii="仿宋" w:hAnsi="仿宋" w:eastAsia="仿宋" w:cs="仿宋"/>
                <w:snapToGrid w:val="0"/>
                <w:color w:val="000000"/>
                <w:spacing w:val="-3"/>
                <w:kern w:val="0"/>
                <w:sz w:val="28"/>
                <w:szCs w:val="28"/>
                <w:lang w:val="en-US" w:eastAsia="zh-CN" w:bidi="ar-SA"/>
              </w:rPr>
              <w:t>15</w:t>
            </w:r>
            <w:r>
              <w:rPr>
                <w:rFonts w:hint="eastAsia" w:ascii="仿宋" w:hAnsi="仿宋" w:eastAsia="仿宋" w:cs="仿宋"/>
                <w:snapToGrid w:val="0"/>
                <w:color w:val="000000"/>
                <w:spacing w:val="-3"/>
                <w:kern w:val="0"/>
                <w:sz w:val="28"/>
                <w:szCs w:val="28"/>
                <w:lang w:val="en-US" w:eastAsia="en-US" w:bidi="ar-SA"/>
              </w:rPr>
              <w:t>:</w:t>
            </w:r>
            <w:r>
              <w:rPr>
                <w:rFonts w:hint="eastAsia" w:ascii="仿宋" w:hAnsi="仿宋" w:eastAsia="仿宋" w:cs="仿宋"/>
                <w:snapToGrid w:val="0"/>
                <w:color w:val="000000"/>
                <w:spacing w:val="-3"/>
                <w:kern w:val="0"/>
                <w:sz w:val="28"/>
                <w:szCs w:val="28"/>
                <w:lang w:val="en-US" w:eastAsia="zh-CN" w:bidi="ar-SA"/>
              </w:rPr>
              <w:t>0</w:t>
            </w:r>
            <w:r>
              <w:rPr>
                <w:rFonts w:hint="eastAsia" w:ascii="仿宋" w:hAnsi="仿宋" w:eastAsia="仿宋" w:cs="仿宋"/>
                <w:snapToGrid w:val="0"/>
                <w:color w:val="000000"/>
                <w:spacing w:val="-3"/>
                <w:kern w:val="0"/>
                <w:sz w:val="28"/>
                <w:szCs w:val="28"/>
                <w:lang w:val="en-US" w:eastAsia="en-US" w:bidi="ar-SA"/>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813" w:type="dxa"/>
            <w:vMerge w:val="continue"/>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72" w:firstLineChars="136"/>
              <w:jc w:val="center"/>
              <w:textAlignment w:val="baseline"/>
              <w:rPr>
                <w:rFonts w:hint="eastAsia" w:ascii="仿宋" w:hAnsi="仿宋" w:eastAsia="仿宋" w:cs="仿宋"/>
                <w:snapToGrid w:val="0"/>
                <w:color w:val="000000"/>
                <w:spacing w:val="-3"/>
                <w:kern w:val="0"/>
                <w:sz w:val="28"/>
                <w:szCs w:val="28"/>
                <w:lang w:val="en-US" w:eastAsia="en-US" w:bidi="ar-SA"/>
              </w:rPr>
            </w:pPr>
          </w:p>
        </w:tc>
        <w:tc>
          <w:tcPr>
            <w:tcW w:w="1654" w:type="dxa"/>
            <w:vMerge w:val="continue"/>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72" w:firstLineChars="136"/>
              <w:jc w:val="center"/>
              <w:textAlignment w:val="baseline"/>
              <w:rPr>
                <w:rFonts w:hint="eastAsia" w:ascii="仿宋" w:hAnsi="仿宋" w:eastAsia="仿宋" w:cs="仿宋"/>
                <w:snapToGrid w:val="0"/>
                <w:color w:val="000000"/>
                <w:spacing w:val="-3"/>
                <w:kern w:val="0"/>
                <w:sz w:val="28"/>
                <w:szCs w:val="28"/>
                <w:lang w:val="en-US" w:eastAsia="en-US" w:bidi="ar-SA"/>
              </w:rPr>
            </w:pPr>
          </w:p>
        </w:tc>
        <w:tc>
          <w:tcPr>
            <w:tcW w:w="4065" w:type="dxa"/>
            <w:gridSpan w:val="2"/>
            <w:tcBorders>
              <w:top w:val="single" w:color="auto" w:sz="4" w:space="0"/>
              <w:bottom w:val="single" w:color="auto" w:sz="4" w:space="0"/>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jc w:val="center"/>
              <w:textAlignment w:val="baseline"/>
              <w:rPr>
                <w:rFonts w:hint="eastAsia" w:ascii="仿宋" w:hAnsi="仿宋" w:eastAsia="仿宋" w:cs="仿宋"/>
                <w:snapToGrid w:val="0"/>
                <w:color w:val="000000"/>
                <w:spacing w:val="-3"/>
                <w:kern w:val="0"/>
                <w:sz w:val="28"/>
                <w:szCs w:val="28"/>
                <w:lang w:val="en-US" w:eastAsia="en-US" w:bidi="ar-SA"/>
              </w:rPr>
            </w:pPr>
            <w:r>
              <w:rPr>
                <w:rFonts w:hint="eastAsia" w:ascii="仿宋" w:hAnsi="仿宋" w:eastAsia="仿宋" w:cs="仿宋"/>
                <w:snapToGrid w:val="0"/>
                <w:color w:val="000000"/>
                <w:spacing w:val="-3"/>
                <w:kern w:val="0"/>
                <w:sz w:val="28"/>
                <w:szCs w:val="28"/>
                <w:lang w:val="en-US" w:eastAsia="en-US" w:bidi="ar-SA"/>
              </w:rPr>
              <w:t>中场休息</w:t>
            </w:r>
          </w:p>
        </w:tc>
        <w:tc>
          <w:tcPr>
            <w:tcW w:w="22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8"/>
                <w:szCs w:val="28"/>
                <w:lang w:val="en-US" w:eastAsia="zh-CN" w:bidi="ar-SA"/>
              </w:rPr>
            </w:pPr>
            <w:r>
              <w:rPr>
                <w:rFonts w:hint="eastAsia" w:ascii="仿宋" w:hAnsi="仿宋" w:eastAsia="仿宋" w:cs="仿宋"/>
                <w:snapToGrid w:val="0"/>
                <w:color w:val="000000"/>
                <w:spacing w:val="-3"/>
                <w:kern w:val="0"/>
                <w:sz w:val="28"/>
                <w:szCs w:val="28"/>
                <w:lang w:val="en-US" w:eastAsia="zh-CN" w:bidi="ar-SA"/>
              </w:rPr>
              <w:t>15:00-15:10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813" w:type="dxa"/>
            <w:vMerge w:val="continue"/>
            <w:tcBorders>
              <w:bottom w:val="single" w:color="auto" w:sz="4" w:space="0"/>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72" w:firstLineChars="136"/>
              <w:jc w:val="center"/>
              <w:textAlignment w:val="baseline"/>
              <w:rPr>
                <w:rFonts w:hint="eastAsia" w:ascii="仿宋" w:hAnsi="仿宋" w:eastAsia="仿宋" w:cs="仿宋"/>
                <w:snapToGrid w:val="0"/>
                <w:color w:val="000000"/>
                <w:spacing w:val="-3"/>
                <w:kern w:val="0"/>
                <w:sz w:val="28"/>
                <w:szCs w:val="28"/>
                <w:lang w:val="en-US" w:eastAsia="en-US" w:bidi="ar-SA"/>
              </w:rPr>
            </w:pPr>
          </w:p>
        </w:tc>
        <w:tc>
          <w:tcPr>
            <w:tcW w:w="1654" w:type="dxa"/>
            <w:vMerge w:val="continue"/>
            <w:tcBorders>
              <w:bottom w:val="single" w:color="auto" w:sz="4" w:space="0"/>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72" w:firstLineChars="136"/>
              <w:jc w:val="center"/>
              <w:textAlignment w:val="baseline"/>
              <w:rPr>
                <w:rFonts w:hint="eastAsia" w:ascii="仿宋" w:hAnsi="仿宋" w:eastAsia="仿宋" w:cs="仿宋"/>
                <w:snapToGrid w:val="0"/>
                <w:color w:val="000000"/>
                <w:spacing w:val="-3"/>
                <w:kern w:val="0"/>
                <w:sz w:val="28"/>
                <w:szCs w:val="28"/>
                <w:lang w:val="en-US" w:eastAsia="en-US" w:bidi="ar-SA"/>
              </w:rPr>
            </w:pPr>
          </w:p>
        </w:tc>
        <w:tc>
          <w:tcPr>
            <w:tcW w:w="2034"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仿宋" w:hAnsi="仿宋" w:eastAsia="仿宋" w:cs="仿宋"/>
                <w:snapToGrid w:val="0"/>
                <w:color w:val="000000"/>
                <w:spacing w:val="-3"/>
                <w:kern w:val="0"/>
                <w:sz w:val="28"/>
                <w:szCs w:val="28"/>
                <w:lang w:val="en-US" w:eastAsia="zh-CN" w:bidi="ar-SA"/>
              </w:rPr>
            </w:pPr>
            <w:r>
              <w:rPr>
                <w:rFonts w:hint="eastAsia" w:ascii="仿宋" w:hAnsi="仿宋" w:eastAsia="仿宋" w:cs="仿宋"/>
                <w:snapToGrid w:val="0"/>
                <w:color w:val="000000"/>
                <w:spacing w:val="-3"/>
                <w:kern w:val="0"/>
                <w:sz w:val="28"/>
                <w:szCs w:val="28"/>
                <w:lang w:val="en-US" w:eastAsia="en-US" w:bidi="ar-SA"/>
              </w:rPr>
              <w:t>第二</w:t>
            </w:r>
            <w:r>
              <w:rPr>
                <w:rFonts w:hint="eastAsia" w:ascii="仿宋" w:hAnsi="仿宋" w:eastAsia="仿宋" w:cs="仿宋"/>
                <w:snapToGrid w:val="0"/>
                <w:color w:val="000000"/>
                <w:spacing w:val="-3"/>
                <w:kern w:val="0"/>
                <w:sz w:val="28"/>
                <w:szCs w:val="28"/>
                <w:lang w:val="en-US" w:eastAsia="zh-CN" w:bidi="ar-SA"/>
              </w:rPr>
              <w:t>阶段</w:t>
            </w:r>
          </w:p>
        </w:tc>
        <w:tc>
          <w:tcPr>
            <w:tcW w:w="2031" w:type="dxa"/>
            <w:tcBorders>
              <w:top w:val="single" w:color="auto" w:sz="4" w:space="0"/>
              <w:bottom w:val="single" w:color="auto" w:sz="4" w:space="0"/>
            </w:tcBorders>
            <w:vAlign w:val="center"/>
          </w:tcPr>
          <w:p>
            <w:pPr>
              <w:keepNext w:val="0"/>
              <w:keepLines w:val="0"/>
              <w:widowControl/>
              <w:suppressLineNumbers w:val="0"/>
              <w:jc w:val="center"/>
              <w:rPr>
                <w:rFonts w:hint="eastAsia" w:ascii="仿宋" w:hAnsi="仿宋" w:eastAsia="仿宋" w:cs="仿宋"/>
                <w:snapToGrid w:val="0"/>
                <w:color w:val="000000"/>
                <w:spacing w:val="-3"/>
                <w:kern w:val="0"/>
                <w:sz w:val="28"/>
                <w:szCs w:val="28"/>
                <w:lang w:val="en-US" w:eastAsia="zh-CN" w:bidi="ar-SA"/>
              </w:rPr>
            </w:pPr>
            <w:r>
              <w:rPr>
                <w:rFonts w:hint="eastAsia" w:ascii="仿宋_GB2312" w:eastAsia="仿宋_GB2312" w:hAnsiTheme="minorHAnsi" w:cstheme="minorBidi"/>
                <w:kern w:val="2"/>
                <w:sz w:val="28"/>
                <w:szCs w:val="28"/>
                <w:lang w:val="en-US" w:eastAsia="zh-CN" w:bidi="ar-SA"/>
              </w:rPr>
              <w:t>网店运营推广</w:t>
            </w:r>
          </w:p>
        </w:tc>
        <w:tc>
          <w:tcPr>
            <w:tcW w:w="22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8"/>
                <w:szCs w:val="28"/>
                <w:lang w:val="en-US" w:eastAsia="en-US" w:bidi="ar-SA"/>
              </w:rPr>
            </w:pPr>
            <w:r>
              <w:rPr>
                <w:rFonts w:hint="eastAsia" w:ascii="仿宋" w:hAnsi="仿宋" w:eastAsia="仿宋" w:cs="仿宋"/>
                <w:snapToGrid w:val="0"/>
                <w:color w:val="000000"/>
                <w:spacing w:val="-3"/>
                <w:kern w:val="0"/>
                <w:sz w:val="28"/>
                <w:szCs w:val="28"/>
                <w:lang w:val="en-US" w:eastAsia="zh-CN" w:bidi="ar-SA"/>
              </w:rPr>
              <w:t>15:10-17:10</w:t>
            </w:r>
          </w:p>
        </w:tc>
      </w:tr>
    </w:tbl>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六、竞赛规则</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根据《全国职业院校技能大赛章程》及《2023年安徽省职业院校技能大赛（高职组）方案》中相关规定，制定以下规则：</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cs="仿宋"/>
          <w:snapToGrid w:val="0"/>
          <w:color w:val="000000"/>
          <w:spacing w:val="5"/>
          <w:kern w:val="0"/>
          <w:sz w:val="32"/>
          <w:szCs w:val="32"/>
          <w:lang w:val="en-US" w:eastAsia="zh-CN" w:bidi="ar-SA"/>
        </w:rPr>
        <w:t>（一）</w:t>
      </w:r>
      <w:r>
        <w:rPr>
          <w:rFonts w:hint="eastAsia" w:ascii="仿宋" w:hAnsi="仿宋" w:eastAsia="仿宋" w:cs="仿宋"/>
          <w:snapToGrid w:val="0"/>
          <w:color w:val="000000"/>
          <w:spacing w:val="5"/>
          <w:kern w:val="0"/>
          <w:sz w:val="32"/>
          <w:szCs w:val="32"/>
          <w:lang w:val="en-US" w:eastAsia="zh-CN" w:bidi="ar-SA"/>
        </w:rPr>
        <w:t>选手报名</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各班级报名选手在本班级学习委员那报名。</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（二）熟悉场地</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凡参赛选手、裁判员、工作人员、赛项组织者等均须按照赛项执委会要求准时到达赛项举办地点，熟悉场地，做好赛前准备工作。比赛用计算机只允许安装规定的相关软件，现场为各代表队统一提供用品、用具及相关资料。</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(三)入场及赛场规则</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比赛现场所有参赛选手、指导教师、裁判员和其他工作人员须统一佩戴相关证件，按照赛项相关规定出入指定区域。</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各代表队须遵守赛场赛项有关规定，遵从裁判长、裁判员的现场调度和指挥，按照 赛场指令完成任务。选手进入赛场，不得携带任何用品、用具、工具书、参考书等相关资料以及水和食品。</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在竞赛过程中，参赛选手不得随意离开赛场。参赛选手不得大声喧哗、使用任何移动存储设备、非法访问他人计算机。赛场技术服务区将实时监控上述行为。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(四)离场规则</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竞赛结束后，不得将竞赛涉及的用品、用具及资料带出赛场。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(五)成绩评定与结果公布</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竞赛成绩通过计算机自动评分，竞赛过程中相关技术人员不得随意操作系统，从计 算机系统输出成绩的全过程需要接受监督仲裁员的监督。</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竞赛成绩复核无误后，经裁判长、监督仲裁组签字后进行公示。公示时间为1小时。成绩公示无异议后，由监督仲裁长及相关人员在成绩单上签字，并公布竞赛成绩。</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七、技术规范</w:t>
      </w:r>
    </w:p>
    <w:p>
      <w:pPr>
        <w:keepNext w:val="0"/>
        <w:keepLines w:val="0"/>
        <w:widowControl/>
        <w:suppressLineNumbers w:val="0"/>
        <w:ind w:firstLine="660" w:firstLineChars="20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1、教学标准：《高等职业学校电子商务专业教学标准》和国家级职业教育专业教学资源库《电子商务专业教学资源库》。 </w:t>
      </w:r>
    </w:p>
    <w:p>
      <w:pPr>
        <w:keepNext w:val="0"/>
        <w:keepLines w:val="0"/>
        <w:widowControl/>
        <w:suppressLineNumbers w:val="0"/>
        <w:ind w:firstLine="660" w:firstLineChars="20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2、行业规范：采用主流电商平台的首页、详情页操作规范，SEO 优化规则、SEM 竞价规则。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八、技术平台与环境</w:t>
      </w:r>
    </w:p>
    <w:tbl>
      <w:tblPr>
        <w:tblStyle w:val="7"/>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1"/>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671"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b/>
                <w:bCs/>
                <w:snapToGrid w:val="0"/>
                <w:color w:val="000000"/>
                <w:spacing w:val="-3"/>
                <w:kern w:val="0"/>
                <w:sz w:val="32"/>
                <w:szCs w:val="32"/>
                <w:lang w:val="en-US" w:eastAsia="zh-CN" w:bidi="ar-SA"/>
              </w:rPr>
            </w:pPr>
            <w:r>
              <w:rPr>
                <w:rFonts w:hint="eastAsia" w:ascii="仿宋" w:hAnsi="仿宋" w:eastAsia="仿宋" w:cs="仿宋"/>
                <w:b/>
                <w:bCs/>
                <w:snapToGrid w:val="0"/>
                <w:color w:val="000000"/>
                <w:spacing w:val="-3"/>
                <w:kern w:val="0"/>
                <w:sz w:val="32"/>
                <w:szCs w:val="32"/>
                <w:lang w:val="en-US" w:eastAsia="zh-CN" w:bidi="ar-SA"/>
              </w:rPr>
              <w:t>品名</w:t>
            </w:r>
          </w:p>
        </w:tc>
        <w:tc>
          <w:tcPr>
            <w:tcW w:w="616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b/>
                <w:bCs/>
                <w:snapToGrid w:val="0"/>
                <w:color w:val="000000"/>
                <w:spacing w:val="-3"/>
                <w:kern w:val="0"/>
                <w:sz w:val="32"/>
                <w:szCs w:val="32"/>
                <w:lang w:val="en-US" w:eastAsia="zh-CN" w:bidi="ar-SA"/>
              </w:rPr>
            </w:pPr>
            <w:r>
              <w:rPr>
                <w:rFonts w:hint="eastAsia" w:ascii="仿宋" w:hAnsi="仿宋" w:eastAsia="仿宋" w:cs="仿宋"/>
                <w:b/>
                <w:bCs/>
                <w:snapToGrid w:val="0"/>
                <w:color w:val="000000"/>
                <w:spacing w:val="-3"/>
                <w:kern w:val="0"/>
                <w:sz w:val="32"/>
                <w:szCs w:val="32"/>
                <w:lang w:val="en-US" w:eastAsia="zh-CN" w:bidi="ar-SA"/>
              </w:rPr>
              <w:t>规格要求说明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1"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en-US" w:bidi="ar-SA"/>
              </w:rPr>
            </w:pPr>
            <w:r>
              <w:rPr>
                <w:rFonts w:hint="eastAsia" w:ascii="仿宋" w:hAnsi="仿宋" w:eastAsia="仿宋" w:cs="仿宋"/>
                <w:snapToGrid w:val="0"/>
                <w:color w:val="000000"/>
                <w:spacing w:val="-3"/>
                <w:kern w:val="0"/>
                <w:sz w:val="32"/>
                <w:szCs w:val="32"/>
                <w:lang w:val="en-US" w:eastAsia="zh-CN" w:bidi="ar-SA"/>
              </w:rPr>
              <w:t>参赛选手计算机</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p>
        </w:tc>
        <w:tc>
          <w:tcPr>
            <w:tcW w:w="616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配置要求：酷睿 I5 双核 3.0 以上 CPU；8G 以上内存；100G 以上硬盘；2G 显存以上独立显卡，千兆网卡。预装 Windows7 以上操作系统；预装火狐浏览器；预装录屏软件；预装全拼、简拼、微软拼音等中文输入法和英文输入法；预装 DreamweaverCS6 和 Fireworks CS6 简体中文版；预装 AdobePhotoshop CS6版本。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1"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en-US" w:bidi="ar-SA"/>
              </w:rPr>
            </w:pPr>
            <w:r>
              <w:rPr>
                <w:rFonts w:hint="eastAsia" w:ascii="仿宋" w:hAnsi="仿宋" w:eastAsia="仿宋" w:cs="仿宋"/>
                <w:snapToGrid w:val="0"/>
                <w:color w:val="000000"/>
                <w:spacing w:val="-3"/>
                <w:kern w:val="0"/>
                <w:sz w:val="32"/>
                <w:szCs w:val="32"/>
                <w:lang w:val="en-US" w:eastAsia="zh-CN" w:bidi="ar-SA"/>
              </w:rPr>
              <w:t>竞赛平台</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p>
        </w:tc>
        <w:tc>
          <w:tcPr>
            <w:tcW w:w="616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包含视觉营销、网店运营推广等重要工作任务，考察选手的数据分析能力、视觉营销能力、营销策划能力、网络 营销能力、网店运营能力、商品整合能力和团队合作能力。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1"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现场布置</w:t>
            </w:r>
          </w:p>
        </w:tc>
        <w:tc>
          <w:tcPr>
            <w:tcW w:w="616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工位隔断、环境布置、桌椅等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1"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网络连接设备</w:t>
            </w:r>
          </w:p>
        </w:tc>
        <w:tc>
          <w:tcPr>
            <w:tcW w:w="616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提供网络布线、千兆交换机、AC控制器、无线AP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1"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 xml:space="preserve">竞赛服务器 </w:t>
            </w:r>
          </w:p>
        </w:tc>
        <w:tc>
          <w:tcPr>
            <w:tcW w:w="6165" w:type="dxa"/>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 xml:space="preserve">配置要求：英特尔至强 E5 系列 E5-2683 v4 十六核以上 CPU；16GB 以上内存；硬盘：500G 以上、转速：10000 RPM 或固定P4510；千兆网卡。 </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zh-CN" w:bidi="ar-SA"/>
              </w:rPr>
              <w:t>预装 Windows Server 2008 R2 操作系统及 IIS 7.5；预装Microsoft SQL Server 2008 数据库。</w:t>
            </w:r>
          </w:p>
        </w:tc>
      </w:tr>
    </w:tbl>
    <w:p>
      <w:pPr>
        <w:keepNext w:val="0"/>
        <w:keepLines w:val="0"/>
        <w:widowControl/>
        <w:numPr>
          <w:ilvl w:val="0"/>
          <w:numId w:val="1"/>
        </w:numPr>
        <w:suppressLineNumbers w:val="0"/>
        <w:jc w:val="left"/>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成绩评定</w:t>
      </w:r>
    </w:p>
    <w:p>
      <w:pPr>
        <w:keepNext w:val="0"/>
        <w:keepLines w:val="0"/>
        <w:widowControl/>
        <w:suppressLineNumbers w:val="0"/>
        <w:ind w:firstLine="660" w:firstLineChars="20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1.评分方法：分为笔纸测量（或计算机代替）方式评判（依据客观数据评判）和现场操作评价方式评判（依据主观判断评判）。网店运营推广采取测量方式评判；视觉营销采取评价方式评判。</w:t>
      </w:r>
    </w:p>
    <w:p>
      <w:pPr>
        <w:keepNext w:val="0"/>
        <w:keepLines w:val="0"/>
        <w:widowControl/>
        <w:suppressLineNumbers w:val="0"/>
        <w:ind w:firstLine="660" w:firstLineChars="20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2. 成绩产生方法。按 100 分制计分，由高到低进行排名，如出现总成绩相同的情况，优先以网店运营推广成绩进行排名，若网店运营推广成绩相同则按照视觉营销成绩进行排名。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十、奖项设置</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以实际参赛队总数为基数，</w:t>
      </w:r>
      <w:r>
        <w:rPr>
          <w:rFonts w:hint="default" w:ascii="仿宋" w:hAnsi="仿宋" w:eastAsia="仿宋" w:cs="仿宋"/>
          <w:snapToGrid w:val="0"/>
          <w:color w:val="000000"/>
          <w:spacing w:val="5"/>
          <w:kern w:val="0"/>
          <w:sz w:val="32"/>
          <w:szCs w:val="32"/>
          <w:lang w:val="en-US" w:eastAsia="zh-CN" w:bidi="ar-SA"/>
        </w:rPr>
        <w:t>参赛队伍在6-10（含10支）支以上，设置一等奖1项，二等奖1项，三等奖1项；参赛队伍10支以上，一等奖10%，二等奖20%，三等奖30%比例设置奖励。</w:t>
      </w:r>
      <w:r>
        <w:rPr>
          <w:rFonts w:hint="eastAsia" w:ascii="仿宋" w:hAnsi="仿宋" w:eastAsia="仿宋" w:cs="仿宋"/>
          <w:snapToGrid w:val="0"/>
          <w:color w:val="000000"/>
          <w:spacing w:val="5"/>
          <w:kern w:val="0"/>
          <w:sz w:val="32"/>
          <w:szCs w:val="32"/>
          <w:lang w:val="en-US" w:eastAsia="zh-CN" w:bidi="ar-SA"/>
        </w:rPr>
        <w:t>( 四舍五入保留整数)。</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十一、赛项预案</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w:t>
      </w:r>
      <w:r>
        <w:rPr>
          <w:rFonts w:hint="default" w:ascii="仿宋" w:hAnsi="仿宋" w:eastAsia="仿宋" w:cs="仿宋"/>
          <w:snapToGrid w:val="0"/>
          <w:color w:val="000000"/>
          <w:spacing w:val="5"/>
          <w:kern w:val="0"/>
          <w:sz w:val="32"/>
          <w:szCs w:val="32"/>
          <w:lang w:val="en-US" w:eastAsia="zh-CN" w:bidi="ar-SA"/>
        </w:rPr>
        <w:t>一</w:t>
      </w:r>
      <w:r>
        <w:rPr>
          <w:rFonts w:hint="eastAsia" w:ascii="仿宋" w:hAnsi="仿宋" w:eastAsia="仿宋" w:cs="仿宋"/>
          <w:snapToGrid w:val="0"/>
          <w:color w:val="000000"/>
          <w:spacing w:val="5"/>
          <w:kern w:val="0"/>
          <w:sz w:val="32"/>
          <w:szCs w:val="32"/>
          <w:lang w:val="en-US" w:eastAsia="zh-CN" w:bidi="ar-SA"/>
        </w:rPr>
        <w:t xml:space="preserve">）非正常停电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竞赛现场如出现突然非正常停电的，按下述步骤进行处理：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1.裁判员提示参赛选手在电源保护装置的有效时间内备份计算机操作数据，并等候处理决定；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2.裁判长视情况决定延迟竞赛；</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3.现场电力恢复后，由裁判组集体商定根据竞赛内容特点的不同可采用继续比赛、顺延比赛时间、重赛等处理办法。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（二）竞赛设备故障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竞赛过程中，如遇竞赛设备故障，按下列程序报告并处理：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1.参赛选手持“故障”示意牌示意，说明故障现象，裁判员、技术员等应及时予以解决。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2.确因设备无法继续操作，经由裁判员提出申请，报裁判长批准后，予以启用备用设备。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3.竞赛设置了关键节点的自动备份功能，裁判长根据实际情况授权工作人员恢复备份数据。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4.数据恢复正常后，由裁判组集体商定根据竞赛内容特点的不同可采用继续比赛、顺延比赛时间、重赛等处理办法。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（三）参赛队员发生意外受伤或急病等情况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参赛队员发生意外受伤或急病等情况，应按下列步骤进行处理：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1.参赛选手持“医务”示意牌示意；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2.现场医务人员迅速到达现场，救治或急送最近医院进行救治； </w:t>
      </w:r>
    </w:p>
    <w:p>
      <w:pPr>
        <w:keepNext w:val="0"/>
        <w:keepLines w:val="0"/>
        <w:widowControl/>
        <w:suppressLineNumbers w:val="0"/>
        <w:jc w:val="left"/>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3.参赛队其他队员可在不违反有关规定的情况下，协同完成竞赛事项。 </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十二、竞赛须知</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按照《2023年安徽省职业院校技能大赛（高职组）方案》相关制度规定，设计以下规则：</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(一)参赛队须知</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1、参赛队员在报名获得审核确认后，原则上不再更换，如筹备过程中，队员因故不能参赛，所在单班级出具书面说明并按相关规定补充人员并接受审核；竞赛开始后，参赛队不得更换参赛队员。</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2、参赛队按照大赛赛程安排，凭参赛证和有效身份证件参加比赛及相关活动。</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(二)参赛选手须知</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1、参赛选手应按有关要求如实填报个人信息，否则取消竞赛资格。</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rPr>
      </w:pPr>
      <w:r>
        <w:rPr>
          <w:rFonts w:hint="eastAsia" w:ascii="仿宋" w:hAnsi="仿宋" w:eastAsia="仿宋" w:cs="仿宋"/>
          <w:spacing w:val="3"/>
          <w:sz w:val="32"/>
          <w:szCs w:val="32"/>
        </w:rPr>
        <w:t>2</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参赛选手凭统一印制的参赛证、有效身份证件参加竞赛，并注意仪容仪表整洁、大方。</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rPr>
        <w:t>3</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参赛选手应认真学习领会本次竞赛相关文件，自觉遵守大赛纪律， 服从指挥，听</w:t>
      </w:r>
      <w:r>
        <w:rPr>
          <w:rFonts w:hint="eastAsia" w:ascii="仿宋" w:hAnsi="仿宋" w:eastAsia="仿宋" w:cs="仿宋"/>
          <w:spacing w:val="3"/>
          <w:sz w:val="32"/>
          <w:szCs w:val="32"/>
          <w:lang w:val="en-US" w:eastAsia="zh-CN"/>
        </w:rPr>
        <w:t>从安排，文明参赛。</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4、参赛选手请勿携带与竞赛无关的电子设备、通讯设备及其他资料与用品。</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5、参赛选手应提前30分钟抵达赛场，凭参赛证、身份证件检录，按要求入场，不得迟到。</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6、参赛选手应按抽签结果在指定位置就座。</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7、参赛选手须在确认竞赛内容和现场设备等无误后开始竞赛。在竞赛过程中，如有疑问，参赛选手应举手示意，现场裁判应按照有关要求及时予以答疑。如遇设备或软件 等故障，参赛选手应举手示意。现场裁判、技术人员等应及时予以解决。确因计算机软件或硬件故障，致使操作无法继续的，经裁判长确认，予以启用备用计算机。如遇身体不适，参赛选手应举手示意，现场医务人员按应急预案救治。</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8、各参赛选手必须按规范要求操作竞赛设备。一旦出现较严重的安全事故，经裁判长批准后将立即取消其参赛资格。</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9、竞赛时间终了，选手应全体起立，结束操作。经现场指挥人员发出指令后，方可离开赛场。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10、在竞赛期间，未经执委会的批准，参赛选手不得接受其他单位和个人进行的与竞赛内容相关的采访。参赛选手不得将竞赛的相关信息私自公布。</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（三） 工作人员须知</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1、工作人员必须统一佩戴由赛项执委会签发的相应证件，着装整齐。</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2、工作人员不得影响参赛选手比赛，不允许有影响比赛公平的行为。</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3、服从领导，听从指挥，以高度负责的精神、严肃认真的态度做好各项工作。</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4、熟悉比赛规程，认真遵守各项比赛规则和工作要求。</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5、坚守岗位，如有急事需要离开岗位时，应经赛场领导同意，并做好工作衔接。</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6、严格遵守比赛纪律，如发现其他人员有违反比赛纪律的行为，应予以制止。情节严重的，应向竞赛执委会反映。</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十三、申诉与仲裁</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按照《2023年安徽省职业院校技能大赛（高职组）方案》中相关制度规定，在比赛过程中若出现有失公正或有关人员违规等现象，代表队领队可在比赛结束后</w:t>
      </w:r>
      <w:r>
        <w:rPr>
          <w:rFonts w:hint="eastAsia" w:cs="仿宋"/>
          <w:spacing w:val="3"/>
          <w:sz w:val="32"/>
          <w:szCs w:val="32"/>
          <w:lang w:val="en-US" w:eastAsia="zh-CN"/>
        </w:rPr>
        <w:t>2</w:t>
      </w:r>
      <w:r>
        <w:rPr>
          <w:rFonts w:hint="eastAsia" w:ascii="仿宋" w:hAnsi="仿宋" w:eastAsia="仿宋" w:cs="仿宋"/>
          <w:spacing w:val="3"/>
          <w:sz w:val="32"/>
          <w:szCs w:val="32"/>
          <w:lang w:val="en-US" w:eastAsia="zh-CN"/>
        </w:rPr>
        <w:t>小时之内向监督仲裁组提出书面申诉。书面申诉应对申诉事件的现象、发生时间、涉及人员、申诉依据等进行充分、实事求是的叙述，并由领队亲笔签名。非书面申诉不予受理。赛项监督仲裁组在接到申诉后的2小时内组织复议，并及时反馈复议结果。</w:t>
      </w:r>
    </w:p>
    <w:p>
      <w:pPr>
        <w:pStyle w:val="3"/>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b/>
          <w:bCs/>
          <w:color w:val="000000"/>
          <w:kern w:val="0"/>
          <w:sz w:val="36"/>
          <w:szCs w:val="36"/>
          <w:lang w:val="en-US" w:eastAsia="zh-CN" w:bidi="ar"/>
        </w:rPr>
      </w:pPr>
      <w:r>
        <w:rPr>
          <w:rFonts w:hint="eastAsia" w:ascii="仿宋" w:hAnsi="仿宋" w:eastAsia="仿宋" w:cs="仿宋"/>
          <w:spacing w:val="3"/>
          <w:sz w:val="32"/>
          <w:szCs w:val="32"/>
          <w:lang w:val="en-US" w:eastAsia="en-US"/>
        </w:rPr>
        <w:t>申诉方对复议结果仍有异议</w:t>
      </w:r>
      <w:r>
        <w:rPr>
          <w:rFonts w:hint="eastAsia" w:cs="仿宋"/>
          <w:spacing w:val="3"/>
          <w:sz w:val="32"/>
          <w:szCs w:val="32"/>
          <w:lang w:val="en-US" w:eastAsia="zh-CN"/>
        </w:rPr>
        <w:t>，</w:t>
      </w:r>
      <w:r>
        <w:rPr>
          <w:rFonts w:hint="eastAsia" w:ascii="仿宋" w:hAnsi="仿宋" w:eastAsia="仿宋" w:cs="仿宋"/>
          <w:spacing w:val="3"/>
          <w:sz w:val="32"/>
          <w:szCs w:val="32"/>
          <w:lang w:val="en-US" w:eastAsia="en-US"/>
        </w:rPr>
        <w:t>可向赛项仲裁提出申诉</w:t>
      </w:r>
      <w:r>
        <w:rPr>
          <w:rFonts w:hint="eastAsia" w:cs="仿宋"/>
          <w:spacing w:val="3"/>
          <w:sz w:val="32"/>
          <w:szCs w:val="32"/>
          <w:lang w:val="en-US" w:eastAsia="zh-CN"/>
        </w:rPr>
        <w:t>。</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“电子商务技能”赛项评分标准</w:t>
      </w:r>
    </w:p>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本赛项两个模块：网店运营推广采取计算机方式评判（依据客观数据评判）和视觉营销采取现场操作评价方式评判（依据主观判断评判）。</w:t>
      </w:r>
    </w:p>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1、评分方法</w:t>
      </w:r>
    </w:p>
    <w:tbl>
      <w:tblPr>
        <w:tblStyle w:val="6"/>
        <w:tblpPr w:leftFromText="180" w:rightFromText="180" w:vertAnchor="text" w:horzAnchor="page" w:tblpX="1817" w:tblpY="351"/>
        <w:tblOverlap w:val="never"/>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1633"/>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95" w:type="dxa"/>
            <w:noWrap w:val="0"/>
            <w:vAlign w:val="center"/>
          </w:tcPr>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比赛内容</w:t>
            </w:r>
          </w:p>
        </w:tc>
        <w:tc>
          <w:tcPr>
            <w:tcW w:w="1633" w:type="dxa"/>
            <w:noWrap w:val="0"/>
            <w:vAlign w:val="center"/>
          </w:tcPr>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分值</w:t>
            </w:r>
          </w:p>
        </w:tc>
        <w:tc>
          <w:tcPr>
            <w:tcW w:w="4417" w:type="dxa"/>
            <w:noWrap w:val="0"/>
            <w:vAlign w:val="center"/>
          </w:tcPr>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95" w:type="dxa"/>
            <w:noWrap w:val="0"/>
            <w:vAlign w:val="center"/>
          </w:tcPr>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视觉营销</w:t>
            </w:r>
          </w:p>
        </w:tc>
        <w:tc>
          <w:tcPr>
            <w:tcW w:w="1633" w:type="dxa"/>
            <w:noWrap w:val="0"/>
            <w:vAlign w:val="center"/>
          </w:tcPr>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50</w:t>
            </w:r>
          </w:p>
        </w:tc>
        <w:tc>
          <w:tcPr>
            <w:tcW w:w="4417" w:type="dxa"/>
            <w:noWrap w:val="0"/>
            <w:vAlign w:val="center"/>
          </w:tcPr>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评价方式评分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95" w:type="dxa"/>
            <w:noWrap w:val="0"/>
            <w:vAlign w:val="center"/>
          </w:tcPr>
          <w:p>
            <w:pPr>
              <w:keepNext w:val="0"/>
              <w:keepLines w:val="0"/>
              <w:widowControl/>
              <w:numPr>
                <w:ilvl w:val="0"/>
                <w:numId w:val="0"/>
              </w:numPr>
              <w:suppressLineNumbers w:val="0"/>
              <w:kinsoku/>
              <w:autoSpaceDE/>
              <w:autoSpaceDN/>
              <w:adjustRightInd/>
              <w:snapToGrid/>
              <w:spacing w:line="240" w:lineRule="auto"/>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网店运营推广</w:t>
            </w:r>
          </w:p>
        </w:tc>
        <w:tc>
          <w:tcPr>
            <w:tcW w:w="1633" w:type="dxa"/>
            <w:noWrap w:val="0"/>
            <w:vAlign w:val="center"/>
          </w:tcPr>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50</w:t>
            </w:r>
          </w:p>
        </w:tc>
        <w:tc>
          <w:tcPr>
            <w:tcW w:w="4417" w:type="dxa"/>
            <w:noWrap w:val="0"/>
            <w:vAlign w:val="center"/>
          </w:tcPr>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计算机自动评分</w:t>
            </w:r>
          </w:p>
        </w:tc>
      </w:tr>
    </w:tbl>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具体评分细则如下：</w:t>
      </w:r>
    </w:p>
    <w:p>
      <w:pPr>
        <w:spacing w:line="360" w:lineRule="auto"/>
        <w:ind w:firstLine="562" w:firstLineChars="200"/>
        <w:jc w:val="center"/>
        <w:rPr>
          <w:rFonts w:hint="eastAsia" w:ascii="仿宋_GB2312" w:eastAsia="仿宋_GB2312"/>
          <w:b/>
          <w:sz w:val="28"/>
          <w:szCs w:val="28"/>
        </w:rPr>
      </w:pPr>
      <w:r>
        <w:rPr>
          <w:rFonts w:hint="eastAsia" w:ascii="仿宋_GB2312" w:eastAsia="仿宋_GB2312"/>
          <w:b/>
          <w:sz w:val="28"/>
          <w:szCs w:val="28"/>
        </w:rPr>
        <w:t>2、评分细则</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276"/>
        <w:gridCol w:w="5466"/>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pStyle w:val="2"/>
              <w:jc w:val="center"/>
              <w:rPr>
                <w:rFonts w:hint="eastAsia" w:ascii="仿宋_GB2312" w:hAnsi="仿宋" w:eastAsia="仿宋_GB2312"/>
                <w:b/>
                <w:sz w:val="28"/>
                <w:szCs w:val="28"/>
              </w:rPr>
            </w:pPr>
            <w:r>
              <w:rPr>
                <w:rFonts w:hint="eastAsia" w:ascii="仿宋_GB2312" w:hAnsi="仿宋" w:eastAsia="仿宋_GB2312"/>
                <w:b/>
                <w:sz w:val="28"/>
                <w:szCs w:val="28"/>
              </w:rPr>
              <w:t>项目</w:t>
            </w:r>
          </w:p>
        </w:tc>
        <w:tc>
          <w:tcPr>
            <w:tcW w:w="1276" w:type="dxa"/>
            <w:noWrap w:val="0"/>
            <w:vAlign w:val="center"/>
          </w:tcPr>
          <w:p>
            <w:pPr>
              <w:pStyle w:val="2"/>
              <w:jc w:val="center"/>
              <w:rPr>
                <w:rFonts w:hint="eastAsia" w:ascii="仿宋_GB2312" w:hAnsi="仿宋" w:eastAsia="仿宋_GB2312"/>
                <w:b/>
                <w:sz w:val="28"/>
                <w:szCs w:val="28"/>
              </w:rPr>
            </w:pPr>
            <w:r>
              <w:rPr>
                <w:rFonts w:hint="eastAsia" w:ascii="仿宋_GB2312" w:hAnsi="仿宋" w:eastAsia="仿宋_GB2312"/>
                <w:b/>
                <w:sz w:val="28"/>
                <w:szCs w:val="28"/>
              </w:rPr>
              <w:t>内容</w:t>
            </w:r>
          </w:p>
        </w:tc>
        <w:tc>
          <w:tcPr>
            <w:tcW w:w="5466" w:type="dxa"/>
            <w:noWrap w:val="0"/>
            <w:vAlign w:val="center"/>
          </w:tcPr>
          <w:p>
            <w:pPr>
              <w:pStyle w:val="2"/>
              <w:jc w:val="center"/>
              <w:rPr>
                <w:rFonts w:hint="eastAsia" w:ascii="仿宋_GB2312" w:hAnsi="仿宋" w:eastAsia="仿宋_GB2312"/>
                <w:b/>
                <w:sz w:val="28"/>
                <w:szCs w:val="28"/>
              </w:rPr>
            </w:pPr>
            <w:r>
              <w:rPr>
                <w:rFonts w:hint="eastAsia" w:ascii="仿宋_GB2312" w:hAnsi="仿宋" w:eastAsia="仿宋_GB2312"/>
                <w:b/>
                <w:sz w:val="28"/>
                <w:szCs w:val="28"/>
              </w:rPr>
              <w:t>评分细则</w:t>
            </w:r>
          </w:p>
        </w:tc>
        <w:tc>
          <w:tcPr>
            <w:tcW w:w="900" w:type="dxa"/>
            <w:noWrap w:val="0"/>
            <w:vAlign w:val="center"/>
          </w:tcPr>
          <w:p>
            <w:pPr>
              <w:pStyle w:val="2"/>
              <w:jc w:val="center"/>
              <w:rPr>
                <w:rFonts w:hint="eastAsia" w:ascii="仿宋_GB2312" w:hAnsi="仿宋" w:eastAsia="仿宋_GB2312"/>
                <w:b/>
                <w:sz w:val="28"/>
                <w:szCs w:val="28"/>
              </w:rPr>
            </w:pPr>
            <w:r>
              <w:rPr>
                <w:rFonts w:hint="eastAsia" w:ascii="仿宋_GB2312" w:hAnsi="仿宋" w:eastAsia="仿宋_GB2312"/>
                <w:b/>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trPr>
        <w:tc>
          <w:tcPr>
            <w:tcW w:w="1384" w:type="dxa"/>
            <w:vMerge w:val="restart"/>
            <w:noWrap w:val="0"/>
            <w:vAlign w:val="center"/>
          </w:tcPr>
          <w:p>
            <w:pPr>
              <w:jc w:val="center"/>
              <w:rPr>
                <w:rFonts w:hint="eastAsia" w:ascii="仿宋_GB2312" w:eastAsia="仿宋_GB2312"/>
                <w:sz w:val="28"/>
                <w:szCs w:val="28"/>
              </w:rPr>
            </w:pPr>
            <w:r>
              <w:rPr>
                <w:rFonts w:hint="eastAsia" w:ascii="仿宋_GB2312" w:eastAsia="仿宋_GB2312"/>
                <w:sz w:val="28"/>
                <w:szCs w:val="28"/>
              </w:rPr>
              <w:t>开设装修</w:t>
            </w:r>
          </w:p>
        </w:tc>
        <w:tc>
          <w:tcPr>
            <w:tcW w:w="1276" w:type="dxa"/>
            <w:vMerge w:val="restart"/>
            <w:noWrap w:val="0"/>
            <w:vAlign w:val="center"/>
          </w:tcPr>
          <w:p>
            <w:pPr>
              <w:jc w:val="center"/>
              <w:rPr>
                <w:rFonts w:hint="eastAsia" w:ascii="仿宋_GB2312" w:eastAsia="仿宋_GB2312"/>
                <w:sz w:val="28"/>
                <w:szCs w:val="28"/>
              </w:rPr>
            </w:pPr>
            <w:r>
              <w:rPr>
                <w:rFonts w:hint="eastAsia" w:ascii="仿宋_GB2312" w:eastAsia="仿宋_GB2312"/>
                <w:sz w:val="28"/>
                <w:szCs w:val="28"/>
              </w:rPr>
              <w:t>首页</w:t>
            </w:r>
          </w:p>
        </w:tc>
        <w:tc>
          <w:tcPr>
            <w:tcW w:w="5466" w:type="dxa"/>
            <w:noWrap w:val="0"/>
            <w:vAlign w:val="center"/>
          </w:tcPr>
          <w:p>
            <w:pPr>
              <w:rPr>
                <w:rFonts w:hint="eastAsia" w:ascii="仿宋_GB2312" w:eastAsia="仿宋_GB2312"/>
                <w:sz w:val="28"/>
                <w:szCs w:val="28"/>
              </w:rPr>
            </w:pPr>
            <w:r>
              <w:rPr>
                <w:rFonts w:hint="eastAsia" w:ascii="仿宋_GB2312" w:eastAsia="仿宋_GB2312"/>
                <w:sz w:val="28"/>
                <w:szCs w:val="28"/>
              </w:rPr>
              <w:t>店标设计独特，有一定的创新性，并且能够反映出店铺所销售的商品。</w:t>
            </w:r>
          </w:p>
        </w:tc>
        <w:tc>
          <w:tcPr>
            <w:tcW w:w="900" w:type="dxa"/>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1384" w:type="dxa"/>
            <w:vMerge w:val="continue"/>
            <w:noWrap w:val="0"/>
            <w:vAlign w:val="center"/>
          </w:tcPr>
          <w:p>
            <w:pPr>
              <w:jc w:val="center"/>
              <w:rPr>
                <w:rFonts w:hint="eastAsia" w:ascii="仿宋_GB2312" w:eastAsia="仿宋_GB2312"/>
                <w:sz w:val="28"/>
                <w:szCs w:val="28"/>
              </w:rPr>
            </w:pPr>
          </w:p>
        </w:tc>
        <w:tc>
          <w:tcPr>
            <w:tcW w:w="1276" w:type="dxa"/>
            <w:vMerge w:val="continue"/>
            <w:noWrap w:val="0"/>
            <w:vAlign w:val="center"/>
          </w:tcPr>
          <w:p>
            <w:pPr>
              <w:jc w:val="center"/>
              <w:rPr>
                <w:rFonts w:hint="eastAsia" w:ascii="仿宋_GB2312" w:eastAsia="仿宋_GB2312"/>
                <w:sz w:val="28"/>
                <w:szCs w:val="28"/>
              </w:rPr>
            </w:pPr>
          </w:p>
        </w:tc>
        <w:tc>
          <w:tcPr>
            <w:tcW w:w="5466" w:type="dxa"/>
            <w:tcBorders>
              <w:bottom w:val="single" w:color="auto" w:sz="4" w:space="0"/>
            </w:tcBorders>
            <w:noWrap w:val="0"/>
            <w:vAlign w:val="center"/>
          </w:tcPr>
          <w:p>
            <w:pPr>
              <w:rPr>
                <w:rFonts w:hint="eastAsia" w:ascii="仿宋_GB2312" w:eastAsia="仿宋_GB2312"/>
                <w:sz w:val="28"/>
                <w:szCs w:val="28"/>
              </w:rPr>
            </w:pPr>
            <w:r>
              <w:rPr>
                <w:rFonts w:ascii="仿宋_GB2312" w:eastAsia="仿宋_GB2312"/>
                <w:sz w:val="28"/>
                <w:szCs w:val="28"/>
              </w:rPr>
              <w:t>网店B</w:t>
            </w:r>
            <w:r>
              <w:rPr>
                <w:rFonts w:hint="eastAsia" w:ascii="仿宋_GB2312" w:eastAsia="仿宋_GB2312"/>
                <w:sz w:val="28"/>
                <w:szCs w:val="28"/>
              </w:rPr>
              <w:t>anner图片主题统一，与店铺经营商品具有相关性，banner设计具有与吸引力并且具有一定的营销导向，设计的规格提高店铺整体风格。</w:t>
            </w:r>
          </w:p>
        </w:tc>
        <w:tc>
          <w:tcPr>
            <w:tcW w:w="900" w:type="dxa"/>
            <w:tcBorders>
              <w:bottom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trPr>
        <w:tc>
          <w:tcPr>
            <w:tcW w:w="1384" w:type="dxa"/>
            <w:vMerge w:val="continue"/>
            <w:noWrap w:val="0"/>
            <w:vAlign w:val="center"/>
          </w:tcPr>
          <w:p>
            <w:pPr>
              <w:jc w:val="center"/>
              <w:rPr>
                <w:rFonts w:hint="eastAsia" w:ascii="仿宋_GB2312" w:eastAsia="仿宋_GB2312"/>
                <w:sz w:val="28"/>
                <w:szCs w:val="28"/>
              </w:rPr>
            </w:pPr>
          </w:p>
        </w:tc>
        <w:tc>
          <w:tcPr>
            <w:tcW w:w="1276" w:type="dxa"/>
            <w:vMerge w:val="continue"/>
            <w:noWrap w:val="0"/>
            <w:vAlign w:val="center"/>
          </w:tcPr>
          <w:p>
            <w:pPr>
              <w:jc w:val="center"/>
              <w:rPr>
                <w:rFonts w:hint="eastAsia" w:ascii="仿宋_GB2312" w:eastAsia="仿宋_GB2312"/>
                <w:sz w:val="28"/>
                <w:szCs w:val="28"/>
              </w:rPr>
            </w:pPr>
          </w:p>
        </w:tc>
        <w:tc>
          <w:tcPr>
            <w:tcW w:w="5466" w:type="dxa"/>
            <w:tcBorders>
              <w:top w:val="single" w:color="auto" w:sz="4" w:space="0"/>
            </w:tcBorders>
            <w:noWrap w:val="0"/>
            <w:vAlign w:val="center"/>
          </w:tcPr>
          <w:p>
            <w:pPr>
              <w:rPr>
                <w:rFonts w:ascii="仿宋_GB2312" w:eastAsia="仿宋_GB2312"/>
                <w:sz w:val="28"/>
                <w:szCs w:val="28"/>
              </w:rPr>
            </w:pPr>
            <w:r>
              <w:rPr>
                <w:rFonts w:ascii="仿宋_GB2312" w:eastAsia="仿宋_GB2312"/>
                <w:sz w:val="28"/>
                <w:szCs w:val="28"/>
              </w:rPr>
              <w:t>推荐商品及促销活动</w:t>
            </w:r>
          </w:p>
        </w:tc>
        <w:tc>
          <w:tcPr>
            <w:tcW w:w="900" w:type="dxa"/>
            <w:tcBorders>
              <w:top w:val="single" w:color="auto" w:sz="4" w:space="0"/>
            </w:tcBorders>
            <w:noWrap w:val="0"/>
            <w:vAlign w:val="center"/>
          </w:tcPr>
          <w:p>
            <w:pPr>
              <w:jc w:val="center"/>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trPr>
        <w:tc>
          <w:tcPr>
            <w:tcW w:w="1384" w:type="dxa"/>
            <w:vMerge w:val="continue"/>
            <w:noWrap w:val="0"/>
            <w:vAlign w:val="center"/>
          </w:tcPr>
          <w:p>
            <w:pPr>
              <w:jc w:val="center"/>
              <w:rPr>
                <w:rFonts w:hint="eastAsia" w:ascii="仿宋_GB2312" w:eastAsia="仿宋_GB2312"/>
                <w:sz w:val="28"/>
                <w:szCs w:val="28"/>
              </w:rPr>
            </w:pPr>
          </w:p>
        </w:tc>
        <w:tc>
          <w:tcPr>
            <w:tcW w:w="1276" w:type="dxa"/>
            <w:vMerge w:val="restart"/>
            <w:noWrap w:val="0"/>
            <w:vAlign w:val="center"/>
          </w:tcPr>
          <w:p>
            <w:pPr>
              <w:jc w:val="center"/>
              <w:rPr>
                <w:rFonts w:hint="eastAsia" w:ascii="仿宋_GB2312" w:eastAsia="仿宋_GB2312"/>
                <w:sz w:val="28"/>
                <w:szCs w:val="28"/>
              </w:rPr>
            </w:pPr>
            <w:r>
              <w:rPr>
                <w:rFonts w:hint="eastAsia" w:ascii="仿宋_GB2312" w:eastAsia="仿宋_GB2312"/>
                <w:sz w:val="28"/>
                <w:szCs w:val="28"/>
              </w:rPr>
              <w:t>详情页</w:t>
            </w:r>
          </w:p>
        </w:tc>
        <w:tc>
          <w:tcPr>
            <w:tcW w:w="5466" w:type="dxa"/>
            <w:noWrap w:val="0"/>
            <w:vAlign w:val="center"/>
          </w:tcPr>
          <w:p>
            <w:pPr>
              <w:rPr>
                <w:rFonts w:hint="eastAsia" w:ascii="仿宋_GB2312" w:eastAsia="仿宋_GB2312"/>
                <w:sz w:val="28"/>
                <w:szCs w:val="28"/>
              </w:rPr>
            </w:pPr>
            <w:r>
              <w:rPr>
                <w:rFonts w:hint="eastAsia" w:ascii="仿宋_GB2312" w:eastAsia="仿宋_GB2312"/>
                <w:sz w:val="28"/>
                <w:szCs w:val="28"/>
              </w:rPr>
              <w:t>商品标题体现商品属性特点卖点的关键词（每个关键词0.2分，最高到1分为止）</w:t>
            </w:r>
          </w:p>
        </w:tc>
        <w:tc>
          <w:tcPr>
            <w:tcW w:w="900" w:type="dxa"/>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 w:hRule="atLeast"/>
        </w:trPr>
        <w:tc>
          <w:tcPr>
            <w:tcW w:w="1384" w:type="dxa"/>
            <w:vMerge w:val="continue"/>
            <w:noWrap w:val="0"/>
            <w:vAlign w:val="center"/>
          </w:tcPr>
          <w:p>
            <w:pPr>
              <w:jc w:val="center"/>
              <w:rPr>
                <w:rFonts w:hint="eastAsia" w:ascii="仿宋_GB2312" w:eastAsia="仿宋_GB2312"/>
                <w:sz w:val="28"/>
                <w:szCs w:val="28"/>
              </w:rPr>
            </w:pPr>
          </w:p>
        </w:tc>
        <w:tc>
          <w:tcPr>
            <w:tcW w:w="1276" w:type="dxa"/>
            <w:vMerge w:val="continue"/>
            <w:noWrap w:val="0"/>
            <w:vAlign w:val="center"/>
          </w:tcPr>
          <w:p>
            <w:pPr>
              <w:jc w:val="center"/>
              <w:rPr>
                <w:rFonts w:hint="eastAsia" w:ascii="仿宋_GB2312" w:eastAsia="仿宋_GB2312"/>
                <w:sz w:val="28"/>
                <w:szCs w:val="28"/>
              </w:rPr>
            </w:pPr>
          </w:p>
        </w:tc>
        <w:tc>
          <w:tcPr>
            <w:tcW w:w="5466" w:type="dxa"/>
            <w:noWrap w:val="0"/>
            <w:vAlign w:val="center"/>
          </w:tcPr>
          <w:p>
            <w:pPr>
              <w:rPr>
                <w:rFonts w:hint="eastAsia" w:ascii="仿宋_GB2312" w:eastAsia="仿宋_GB2312"/>
                <w:sz w:val="28"/>
                <w:szCs w:val="28"/>
              </w:rPr>
            </w:pPr>
            <w:r>
              <w:rPr>
                <w:rFonts w:hint="eastAsia" w:ascii="仿宋_GB2312" w:eastAsia="仿宋_GB2312"/>
                <w:sz w:val="28"/>
                <w:szCs w:val="28"/>
              </w:rPr>
              <w:t>商品图片（1主3辅），图片设计美观，主题突出，有视觉冲击力。</w:t>
            </w:r>
          </w:p>
        </w:tc>
        <w:tc>
          <w:tcPr>
            <w:tcW w:w="900" w:type="dxa"/>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 w:hRule="atLeast"/>
        </w:trPr>
        <w:tc>
          <w:tcPr>
            <w:tcW w:w="1384" w:type="dxa"/>
            <w:vMerge w:val="continue"/>
            <w:noWrap w:val="0"/>
            <w:vAlign w:val="center"/>
          </w:tcPr>
          <w:p>
            <w:pPr>
              <w:jc w:val="center"/>
              <w:rPr>
                <w:rFonts w:hint="eastAsia" w:ascii="仿宋_GB2312" w:eastAsia="仿宋_GB2312"/>
                <w:sz w:val="28"/>
                <w:szCs w:val="28"/>
              </w:rPr>
            </w:pPr>
          </w:p>
        </w:tc>
        <w:tc>
          <w:tcPr>
            <w:tcW w:w="1276" w:type="dxa"/>
            <w:vMerge w:val="continue"/>
            <w:noWrap w:val="0"/>
            <w:vAlign w:val="center"/>
          </w:tcPr>
          <w:p>
            <w:pPr>
              <w:jc w:val="center"/>
              <w:rPr>
                <w:rFonts w:hint="eastAsia" w:ascii="仿宋_GB2312" w:eastAsia="仿宋_GB2312"/>
                <w:sz w:val="28"/>
                <w:szCs w:val="28"/>
              </w:rPr>
            </w:pPr>
          </w:p>
        </w:tc>
        <w:tc>
          <w:tcPr>
            <w:tcW w:w="5466" w:type="dxa"/>
            <w:noWrap w:val="0"/>
            <w:vAlign w:val="center"/>
          </w:tcPr>
          <w:p>
            <w:pPr>
              <w:rPr>
                <w:rFonts w:hint="eastAsia" w:ascii="仿宋_GB2312" w:eastAsia="仿宋_GB2312"/>
                <w:sz w:val="28"/>
                <w:szCs w:val="28"/>
              </w:rPr>
            </w:pPr>
            <w:r>
              <w:rPr>
                <w:rFonts w:ascii="仿宋_GB2312" w:eastAsia="仿宋_GB2312"/>
                <w:sz w:val="28"/>
                <w:szCs w:val="28"/>
              </w:rPr>
              <w:t>商品相关属性描述</w:t>
            </w:r>
            <w:r>
              <w:rPr>
                <w:rFonts w:hint="eastAsia" w:ascii="仿宋_GB2312" w:eastAsia="仿宋_GB2312"/>
                <w:sz w:val="28"/>
                <w:szCs w:val="28"/>
              </w:rPr>
              <w:t>，需包含商品属性，特点，卖点，促销，配送，支付，售后等相关内容的信息；此部分图文混排得分更高。</w:t>
            </w:r>
          </w:p>
        </w:tc>
        <w:tc>
          <w:tcPr>
            <w:tcW w:w="900" w:type="dxa"/>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 w:hRule="atLeast"/>
        </w:trPr>
        <w:tc>
          <w:tcPr>
            <w:tcW w:w="1384" w:type="dxa"/>
            <w:vMerge w:val="continue"/>
            <w:noWrap w:val="0"/>
            <w:vAlign w:val="center"/>
          </w:tcPr>
          <w:p>
            <w:pPr>
              <w:jc w:val="center"/>
              <w:rPr>
                <w:rFonts w:hint="eastAsia" w:ascii="仿宋_GB2312" w:eastAsia="仿宋_GB2312"/>
                <w:sz w:val="28"/>
                <w:szCs w:val="28"/>
              </w:rPr>
            </w:pPr>
          </w:p>
        </w:tc>
        <w:tc>
          <w:tcPr>
            <w:tcW w:w="1276" w:type="dxa"/>
            <w:vMerge w:val="continue"/>
            <w:noWrap w:val="0"/>
            <w:vAlign w:val="center"/>
          </w:tcPr>
          <w:p>
            <w:pPr>
              <w:jc w:val="center"/>
              <w:rPr>
                <w:rFonts w:hint="eastAsia" w:ascii="仿宋_GB2312" w:eastAsia="仿宋_GB2312"/>
                <w:sz w:val="28"/>
                <w:szCs w:val="28"/>
              </w:rPr>
            </w:pPr>
          </w:p>
        </w:tc>
        <w:tc>
          <w:tcPr>
            <w:tcW w:w="5466" w:type="dxa"/>
            <w:noWrap w:val="0"/>
            <w:vAlign w:val="center"/>
          </w:tcPr>
          <w:p>
            <w:pPr>
              <w:rPr>
                <w:rFonts w:hint="eastAsia" w:ascii="仿宋_GB2312" w:eastAsia="仿宋_GB2312"/>
                <w:sz w:val="28"/>
                <w:szCs w:val="28"/>
              </w:rPr>
            </w:pPr>
            <w:r>
              <w:rPr>
                <w:rFonts w:hint="eastAsia" w:ascii="仿宋_GB2312" w:eastAsia="仿宋_GB2312"/>
                <w:sz w:val="28"/>
                <w:szCs w:val="28"/>
              </w:rPr>
              <w:t>商品描述中体现了该商品的适用人群，以及说明了对该类人群的价值及优势。</w:t>
            </w:r>
          </w:p>
        </w:tc>
        <w:tc>
          <w:tcPr>
            <w:tcW w:w="900" w:type="dxa"/>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1384" w:type="dxa"/>
            <w:vMerge w:val="continue"/>
            <w:noWrap w:val="0"/>
            <w:vAlign w:val="center"/>
          </w:tcPr>
          <w:p>
            <w:pPr>
              <w:jc w:val="center"/>
              <w:rPr>
                <w:rFonts w:hint="eastAsia" w:ascii="仿宋_GB2312" w:eastAsia="仿宋_GB2312"/>
                <w:sz w:val="28"/>
                <w:szCs w:val="28"/>
              </w:rPr>
            </w:pPr>
          </w:p>
        </w:tc>
        <w:tc>
          <w:tcPr>
            <w:tcW w:w="1276" w:type="dxa"/>
            <w:vMerge w:val="continue"/>
            <w:noWrap w:val="0"/>
            <w:vAlign w:val="center"/>
          </w:tcPr>
          <w:p>
            <w:pPr>
              <w:jc w:val="center"/>
              <w:rPr>
                <w:rFonts w:hint="eastAsia" w:ascii="仿宋_GB2312" w:eastAsia="仿宋_GB2312"/>
                <w:sz w:val="28"/>
                <w:szCs w:val="28"/>
              </w:rPr>
            </w:pPr>
          </w:p>
        </w:tc>
        <w:tc>
          <w:tcPr>
            <w:tcW w:w="5466" w:type="dxa"/>
            <w:tcBorders>
              <w:bottom w:val="single" w:color="auto" w:sz="4" w:space="0"/>
            </w:tcBorders>
            <w:noWrap w:val="0"/>
            <w:vAlign w:val="center"/>
          </w:tcPr>
          <w:p>
            <w:pPr>
              <w:rPr>
                <w:rFonts w:hint="eastAsia" w:ascii="仿宋_GB2312" w:eastAsia="仿宋_GB2312"/>
                <w:sz w:val="28"/>
                <w:szCs w:val="28"/>
              </w:rPr>
            </w:pPr>
            <w:r>
              <w:rPr>
                <w:rFonts w:hint="eastAsia" w:ascii="仿宋_GB2312" w:eastAsia="仿宋_GB2312"/>
                <w:sz w:val="28"/>
                <w:szCs w:val="28"/>
              </w:rPr>
              <w:t>商品描述中体现该商品与同类商品相比的特点及优势。</w:t>
            </w:r>
          </w:p>
        </w:tc>
        <w:tc>
          <w:tcPr>
            <w:tcW w:w="900" w:type="dxa"/>
            <w:tcBorders>
              <w:bottom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1384" w:type="dxa"/>
            <w:vMerge w:val="continue"/>
            <w:noWrap w:val="0"/>
            <w:vAlign w:val="center"/>
          </w:tcPr>
          <w:p>
            <w:pPr>
              <w:jc w:val="center"/>
              <w:rPr>
                <w:rFonts w:hint="eastAsia" w:ascii="仿宋_GB2312" w:eastAsia="仿宋_GB2312"/>
                <w:sz w:val="28"/>
                <w:szCs w:val="28"/>
              </w:rPr>
            </w:pPr>
          </w:p>
        </w:tc>
        <w:tc>
          <w:tcPr>
            <w:tcW w:w="1276" w:type="dxa"/>
            <w:vMerge w:val="continue"/>
            <w:tcBorders>
              <w:bottom w:val="single" w:color="auto" w:sz="4" w:space="0"/>
            </w:tcBorders>
            <w:noWrap w:val="0"/>
            <w:vAlign w:val="center"/>
          </w:tcPr>
          <w:p>
            <w:pPr>
              <w:jc w:val="center"/>
              <w:rPr>
                <w:rFonts w:hint="eastAsia" w:ascii="仿宋_GB2312" w:eastAsia="仿宋_GB2312"/>
                <w:sz w:val="28"/>
                <w:szCs w:val="28"/>
              </w:rPr>
            </w:pPr>
          </w:p>
        </w:tc>
        <w:tc>
          <w:tcPr>
            <w:tcW w:w="5466" w:type="dxa"/>
            <w:tcBorders>
              <w:top w:val="single" w:color="auto" w:sz="4" w:space="0"/>
              <w:bottom w:val="single" w:color="auto" w:sz="4" w:space="0"/>
            </w:tcBorders>
            <w:noWrap w:val="0"/>
            <w:vAlign w:val="center"/>
          </w:tcPr>
          <w:p>
            <w:pPr>
              <w:rPr>
                <w:rFonts w:hint="eastAsia" w:ascii="仿宋_GB2312" w:eastAsia="仿宋_GB2312"/>
                <w:sz w:val="28"/>
                <w:szCs w:val="28"/>
              </w:rPr>
            </w:pPr>
            <w:r>
              <w:rPr>
                <w:rFonts w:hint="eastAsia" w:ascii="仿宋_GB2312" w:eastAsia="仿宋_GB2312"/>
                <w:sz w:val="28"/>
                <w:szCs w:val="28"/>
              </w:rPr>
              <w:t>整个详情页页面布局重点突出，不是所有内容的堆砌，能够抓住消费者的视觉热点，层次清晰，符合视觉营销的基本要求。</w:t>
            </w:r>
          </w:p>
        </w:tc>
        <w:tc>
          <w:tcPr>
            <w:tcW w:w="900" w:type="dxa"/>
            <w:tcBorders>
              <w:top w:val="single" w:color="auto" w:sz="4" w:space="0"/>
              <w:bottom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4</w:t>
            </w:r>
            <w:r>
              <w:rPr>
                <w:rFonts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384" w:type="dxa"/>
            <w:vMerge w:val="continue"/>
            <w:noWrap w:val="0"/>
            <w:vAlign w:val="center"/>
          </w:tcPr>
          <w:p>
            <w:pPr>
              <w:jc w:val="center"/>
              <w:rPr>
                <w:rFonts w:hint="eastAsia" w:ascii="仿宋_GB2312" w:eastAsia="仿宋_GB2312"/>
                <w:sz w:val="28"/>
                <w:szCs w:val="28"/>
              </w:rPr>
            </w:pPr>
          </w:p>
        </w:tc>
        <w:tc>
          <w:tcPr>
            <w:tcW w:w="1276" w:type="dxa"/>
            <w:tcBorders>
              <w:top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技术要求</w:t>
            </w:r>
          </w:p>
        </w:tc>
        <w:tc>
          <w:tcPr>
            <w:tcW w:w="5466" w:type="dxa"/>
            <w:tcBorders>
              <w:top w:val="single" w:color="auto" w:sz="4" w:space="0"/>
            </w:tcBorders>
            <w:noWrap w:val="0"/>
            <w:vAlign w:val="center"/>
          </w:tcPr>
          <w:p>
            <w:pPr>
              <w:rPr>
                <w:rFonts w:hint="eastAsia" w:ascii="仿宋_GB2312" w:eastAsia="仿宋_GB2312"/>
                <w:sz w:val="28"/>
                <w:szCs w:val="28"/>
              </w:rPr>
            </w:pPr>
            <w:r>
              <w:rPr>
                <w:rFonts w:hint="eastAsia" w:ascii="仿宋_GB2312" w:eastAsia="仿宋_GB2312"/>
                <w:sz w:val="28"/>
                <w:szCs w:val="28"/>
              </w:rPr>
              <w:t>图片满足最低数量要求的情况下，不能存在模糊失真或者压缩变形的情况出现。</w:t>
            </w:r>
          </w:p>
        </w:tc>
        <w:tc>
          <w:tcPr>
            <w:tcW w:w="900" w:type="dxa"/>
            <w:tcBorders>
              <w:top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jc w:val="center"/>
              <w:rPr>
                <w:rFonts w:ascii="仿宋_GB2312" w:eastAsia="仿宋_GB2312"/>
                <w:sz w:val="28"/>
                <w:szCs w:val="28"/>
              </w:rPr>
            </w:pPr>
            <w:r>
              <w:rPr>
                <w:rFonts w:ascii="仿宋_GB2312" w:eastAsia="仿宋_GB2312"/>
                <w:sz w:val="28"/>
                <w:szCs w:val="28"/>
              </w:rPr>
              <w:t>运营推广</w:t>
            </w:r>
          </w:p>
          <w:p>
            <w:pPr>
              <w:jc w:val="center"/>
              <w:rPr>
                <w:rFonts w:hint="eastAsia" w:ascii="仿宋_GB2312" w:eastAsia="仿宋_GB2312"/>
                <w:sz w:val="28"/>
                <w:szCs w:val="28"/>
              </w:rPr>
            </w:pPr>
            <w:r>
              <w:rPr>
                <w:rFonts w:hint="eastAsia" w:ascii="仿宋_GB2312" w:eastAsia="仿宋_GB2312"/>
                <w:sz w:val="28"/>
                <w:szCs w:val="28"/>
              </w:rPr>
              <w:t>经营分析</w:t>
            </w:r>
          </w:p>
        </w:tc>
        <w:tc>
          <w:tcPr>
            <w:tcW w:w="6742" w:type="dxa"/>
            <w:gridSpan w:val="2"/>
            <w:noWrap w:val="0"/>
            <w:vAlign w:val="center"/>
          </w:tcPr>
          <w:p>
            <w:pPr>
              <w:jc w:val="left"/>
              <w:rPr>
                <w:rFonts w:hint="eastAsia" w:ascii="仿宋_GB2312" w:eastAsia="仿宋_GB2312"/>
                <w:sz w:val="28"/>
                <w:szCs w:val="28"/>
              </w:rPr>
            </w:pPr>
            <w:r>
              <w:rPr>
                <w:rFonts w:hint="eastAsia" w:ascii="仿宋_GB2312" w:eastAsia="仿宋_GB2312"/>
                <w:sz w:val="28"/>
                <w:szCs w:val="28"/>
              </w:rPr>
              <w:t>软件以各队“所有者权益”为主，企业可持续性经营能力为辅自动计算经营得分，每个赛场根据各队的经营得分进行排序，第一名</w:t>
            </w:r>
            <w:r>
              <w:rPr>
                <w:rFonts w:hint="eastAsia" w:ascii="仿宋_GB2312" w:eastAsia="仿宋_GB2312"/>
                <w:sz w:val="28"/>
                <w:szCs w:val="28"/>
                <w:lang w:val="en-US" w:eastAsia="zh-CN"/>
              </w:rPr>
              <w:t>5</w:t>
            </w:r>
            <w:r>
              <w:rPr>
                <w:rFonts w:hint="eastAsia" w:ascii="仿宋_GB2312" w:eastAsia="仿宋_GB2312"/>
                <w:sz w:val="28"/>
                <w:szCs w:val="28"/>
              </w:rPr>
              <w:t>0分，按照名次递减5分，第二名</w:t>
            </w:r>
            <w:r>
              <w:rPr>
                <w:rFonts w:hint="eastAsia" w:ascii="仿宋_GB2312" w:eastAsia="仿宋_GB2312"/>
                <w:sz w:val="28"/>
                <w:szCs w:val="28"/>
                <w:lang w:val="en-US" w:eastAsia="zh-CN"/>
              </w:rPr>
              <w:t>4</w:t>
            </w:r>
            <w:r>
              <w:rPr>
                <w:rFonts w:hint="eastAsia" w:ascii="仿宋_GB2312" w:eastAsia="仿宋_GB2312"/>
                <w:sz w:val="28"/>
                <w:szCs w:val="28"/>
              </w:rPr>
              <w:t>5分依次类推。</w:t>
            </w:r>
          </w:p>
        </w:tc>
        <w:tc>
          <w:tcPr>
            <w:tcW w:w="900" w:type="dxa"/>
            <w:noWrap w:val="0"/>
            <w:vAlign w:val="center"/>
          </w:tcPr>
          <w:p>
            <w:pPr>
              <w:jc w:val="center"/>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0分</w:t>
            </w:r>
          </w:p>
        </w:tc>
      </w:tr>
    </w:tbl>
    <w:p>
      <w:pPr>
        <w:rPr>
          <w:sz w:val="22"/>
          <w:szCs w:val="28"/>
        </w:rPr>
      </w:pPr>
    </w:p>
    <w:p/>
    <w:p/>
    <w:p/>
    <w:p/>
    <w:p/>
    <w:p/>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“电子商务技能”赛项训练计划</w:t>
      </w:r>
    </w:p>
    <w:p>
      <w:pPr>
        <w:jc w:val="center"/>
      </w:pPr>
    </w:p>
    <w:p>
      <w:pPr>
        <w:keepNext w:val="0"/>
        <w:keepLines w:val="0"/>
        <w:widowControl/>
        <w:numPr>
          <w:ilvl w:val="0"/>
          <w:numId w:val="0"/>
        </w:numPr>
        <w:suppressLineNumbers w:val="0"/>
        <w:kinsoku/>
        <w:autoSpaceDE/>
        <w:autoSpaceDN/>
        <w:adjustRightInd/>
        <w:snapToGrid/>
        <w:spacing w:line="240" w:lineRule="auto"/>
        <w:ind w:firstLine="652" w:firstLineChars="200"/>
        <w:jc w:val="left"/>
        <w:textAlignment w:val="auto"/>
        <w:rPr>
          <w:rFonts w:hint="eastAsia" w:ascii="仿宋" w:hAnsi="仿宋" w:eastAsia="仿宋" w:cs="仿宋"/>
          <w:spacing w:val="3"/>
          <w:kern w:val="2"/>
          <w:sz w:val="32"/>
          <w:szCs w:val="32"/>
          <w:lang w:val="en-US" w:eastAsia="zh-CN" w:bidi="ar-SA"/>
        </w:rPr>
      </w:pPr>
      <w:r>
        <w:rPr>
          <w:rFonts w:hint="eastAsia" w:ascii="仿宋" w:hAnsi="仿宋" w:eastAsia="仿宋" w:cs="仿宋"/>
          <w:spacing w:val="3"/>
          <w:kern w:val="2"/>
          <w:sz w:val="32"/>
          <w:szCs w:val="32"/>
          <w:lang w:val="en-US" w:eastAsia="zh-CN" w:bidi="ar-SA"/>
        </w:rPr>
        <w:t>以国家职业教育专业目录等有关标准为依据，以提升职业院校师生技术技能水平、培育工匠精神为宗旨，坚持以学生发展为中心，以就业为导向，为了提升学生的技能水平，促进学生专业职业能力提升，提高学院人才培养质量，扎实推进学生职业技能大赛工作，面向学生，注重实践，开展专项技能培训，现将电子商务技能大赛训练计划如下：</w:t>
      </w:r>
    </w:p>
    <w:p>
      <w:pPr>
        <w:spacing w:line="360" w:lineRule="auto"/>
        <w:ind w:firstLine="803" w:firstLineChars="250"/>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一、</w:t>
      </w:r>
      <w:r>
        <w:rPr>
          <w:rFonts w:hint="eastAsia" w:ascii="仿宋" w:hAnsi="仿宋" w:eastAsia="仿宋" w:cs="仿宋"/>
          <w:b/>
          <w:sz w:val="32"/>
          <w:szCs w:val="32"/>
        </w:rPr>
        <w:t>培训</w:t>
      </w:r>
      <w:r>
        <w:rPr>
          <w:rFonts w:hint="eastAsia" w:ascii="仿宋" w:hAnsi="仿宋" w:eastAsia="仿宋" w:cs="仿宋"/>
          <w:b/>
          <w:sz w:val="32"/>
          <w:szCs w:val="32"/>
          <w:lang w:val="en-US" w:eastAsia="zh-CN"/>
        </w:rPr>
        <w:t>背景</w:t>
      </w:r>
    </w:p>
    <w:p>
      <w:pPr>
        <w:spacing w:line="360" w:lineRule="auto"/>
        <w:ind w:firstLine="644" w:firstLineChars="200"/>
        <w:rPr>
          <w:rFonts w:hint="eastAsia" w:ascii="仿宋" w:hAnsi="仿宋" w:eastAsia="仿宋" w:cs="仿宋"/>
          <w:spacing w:val="-3"/>
          <w:sz w:val="32"/>
          <w:szCs w:val="32"/>
        </w:rPr>
      </w:pPr>
      <w:r>
        <w:rPr>
          <w:rFonts w:hint="eastAsia" w:ascii="仿宋" w:hAnsi="仿宋" w:eastAsia="仿宋" w:cs="仿宋"/>
          <w:spacing w:val="1"/>
          <w:sz w:val="32"/>
          <w:szCs w:val="32"/>
        </w:rPr>
        <w:t>增强企业参与专业教学改革主动性和积极性</w:t>
      </w:r>
      <w:r>
        <w:rPr>
          <w:rFonts w:hint="eastAsia" w:ascii="仿宋" w:hAnsi="仿宋" w:eastAsia="仿宋" w:cs="仿宋"/>
          <w:sz w:val="32"/>
          <w:szCs w:val="32"/>
        </w:rPr>
        <w:t>，推动职业教育与产业深度</w:t>
      </w:r>
      <w:r>
        <w:rPr>
          <w:rFonts w:hint="eastAsia" w:ascii="仿宋" w:hAnsi="仿宋" w:eastAsia="仿宋" w:cs="仿宋"/>
          <w:spacing w:val="2"/>
          <w:sz w:val="32"/>
          <w:szCs w:val="32"/>
        </w:rPr>
        <w:t>互动，推动职业教育提档升级；深入探索新时</w:t>
      </w:r>
      <w:r>
        <w:rPr>
          <w:rFonts w:hint="eastAsia" w:ascii="仿宋" w:hAnsi="仿宋" w:eastAsia="仿宋" w:cs="仿宋"/>
          <w:spacing w:val="1"/>
          <w:sz w:val="32"/>
          <w:szCs w:val="32"/>
        </w:rPr>
        <w:t>代高素质高层次技术技能型财会人才培养模式</w:t>
      </w:r>
      <w:r>
        <w:rPr>
          <w:rFonts w:hint="eastAsia" w:cs="仿宋"/>
          <w:spacing w:val="1"/>
          <w:sz w:val="32"/>
          <w:szCs w:val="32"/>
          <w:lang w:eastAsia="zh-CN"/>
        </w:rPr>
        <w:t>，</w:t>
      </w:r>
      <w:r>
        <w:rPr>
          <w:rFonts w:hint="eastAsia" w:ascii="仿宋" w:hAnsi="仿宋" w:eastAsia="仿宋" w:cs="仿宋"/>
          <w:spacing w:val="1"/>
          <w:sz w:val="32"/>
          <w:szCs w:val="32"/>
        </w:rPr>
        <w:t>拓展技术技能型人才成长通道，提升就业创业本领，服务经济社会发展</w:t>
      </w:r>
      <w:r>
        <w:rPr>
          <w:rFonts w:hint="eastAsia" w:cs="仿宋"/>
          <w:spacing w:val="1"/>
          <w:sz w:val="32"/>
          <w:szCs w:val="32"/>
          <w:lang w:eastAsia="zh-CN"/>
        </w:rPr>
        <w:t>、</w:t>
      </w:r>
      <w:r>
        <w:rPr>
          <w:rFonts w:hint="eastAsia" w:ascii="仿宋" w:hAnsi="仿宋" w:eastAsia="仿宋" w:cs="仿宋"/>
          <w:spacing w:val="-3"/>
          <w:sz w:val="32"/>
          <w:szCs w:val="32"/>
        </w:rPr>
        <w:t>服务国家发展战略。</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培训目标</w:t>
      </w:r>
    </w:p>
    <w:p>
      <w:pPr>
        <w:spacing w:line="360" w:lineRule="auto"/>
        <w:ind w:firstLine="628" w:firstLineChars="200"/>
        <w:rPr>
          <w:rFonts w:asciiTheme="minorEastAsia" w:hAnsiTheme="minorEastAsia"/>
          <w:sz w:val="24"/>
          <w:szCs w:val="24"/>
        </w:rPr>
      </w:pPr>
      <w:r>
        <w:rPr>
          <w:rFonts w:hint="eastAsia" w:ascii="仿宋" w:hAnsi="仿宋" w:eastAsia="仿宋" w:cs="仿宋"/>
          <w:spacing w:val="-3"/>
          <w:sz w:val="32"/>
          <w:szCs w:val="32"/>
        </w:rPr>
        <w:t>通过大赛促进职普融通、产教融合、科创融汇</w:t>
      </w:r>
      <w:r>
        <w:rPr>
          <w:rFonts w:hint="eastAsia" w:ascii="仿宋" w:hAnsi="仿宋" w:eastAsia="仿宋" w:cs="仿宋"/>
          <w:spacing w:val="-4"/>
          <w:sz w:val="32"/>
          <w:szCs w:val="32"/>
        </w:rPr>
        <w:t>，加快数字化赋能职业教育步伐，</w:t>
      </w:r>
      <w:r>
        <w:rPr>
          <w:rFonts w:hint="eastAsia" w:ascii="仿宋" w:hAnsi="仿宋" w:eastAsia="仿宋" w:cs="仿宋"/>
          <w:spacing w:val="1"/>
          <w:sz w:val="32"/>
          <w:szCs w:val="32"/>
        </w:rPr>
        <w:t>培养一大批强专业、精数据、懂业务、擅分析、会工具、能决策、守道德、有</w:t>
      </w:r>
      <w:r>
        <w:rPr>
          <w:rFonts w:hint="eastAsia" w:ascii="仿宋" w:hAnsi="仿宋" w:eastAsia="仿宋" w:cs="仿宋"/>
          <w:spacing w:val="2"/>
          <w:sz w:val="32"/>
          <w:szCs w:val="32"/>
        </w:rPr>
        <w:t>素养的新时代数智化财会人才，检验和展示高</w:t>
      </w:r>
      <w:r>
        <w:rPr>
          <w:rFonts w:hint="eastAsia" w:ascii="仿宋" w:hAnsi="仿宋" w:eastAsia="仿宋" w:cs="仿宋"/>
          <w:spacing w:val="1"/>
          <w:sz w:val="32"/>
          <w:szCs w:val="32"/>
        </w:rPr>
        <w:t>职院校财会类专业教学改革成果和学</w:t>
      </w:r>
      <w:r>
        <w:rPr>
          <w:rFonts w:hint="eastAsia" w:ascii="仿宋" w:hAnsi="仿宋" w:eastAsia="仿宋" w:cs="仿宋"/>
          <w:spacing w:val="-4"/>
          <w:sz w:val="32"/>
          <w:szCs w:val="32"/>
        </w:rPr>
        <w:t>生数智化财务新技能，实现以赛促教、以赛促学、以赛促</w:t>
      </w:r>
      <w:r>
        <w:rPr>
          <w:rFonts w:hint="eastAsia" w:ascii="仿宋" w:hAnsi="仿宋" w:eastAsia="仿宋" w:cs="仿宋"/>
          <w:spacing w:val="1"/>
          <w:sz w:val="32"/>
          <w:szCs w:val="32"/>
        </w:rPr>
        <w:t>改、以赛促建，推进“三教改革 ”</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实现“ 以赛促教促学、以赛促建促改 ”的目标。通过本次技能大赛培训，使学生掌握较好的实践技能，</w:t>
      </w:r>
      <w:r>
        <w:rPr>
          <w:rFonts w:hint="eastAsia" w:ascii="仿宋" w:hAnsi="仿宋" w:eastAsia="仿宋" w:cs="仿宋"/>
          <w:spacing w:val="1"/>
          <w:sz w:val="32"/>
          <w:szCs w:val="32"/>
          <w:lang w:eastAsia="zh-CN"/>
        </w:rPr>
        <w:t>为安徽省职业</w:t>
      </w:r>
      <w:r>
        <w:rPr>
          <w:rFonts w:hint="eastAsia" w:ascii="仿宋" w:hAnsi="仿宋" w:eastAsia="仿宋" w:cs="仿宋"/>
          <w:spacing w:val="1"/>
          <w:sz w:val="32"/>
          <w:szCs w:val="32"/>
        </w:rPr>
        <w:t>大赛中</w:t>
      </w:r>
      <w:r>
        <w:rPr>
          <w:rFonts w:hint="eastAsia" w:ascii="仿宋" w:hAnsi="仿宋" w:eastAsia="仿宋" w:cs="仿宋"/>
          <w:spacing w:val="1"/>
          <w:sz w:val="32"/>
          <w:szCs w:val="32"/>
          <w:lang w:eastAsia="zh-CN"/>
        </w:rPr>
        <w:t>好参赛选手选拔</w:t>
      </w:r>
      <w:r>
        <w:rPr>
          <w:rFonts w:hint="eastAsia" w:ascii="仿宋" w:hAnsi="仿宋" w:eastAsia="仿宋" w:cs="仿宋"/>
          <w:spacing w:val="1"/>
          <w:sz w:val="32"/>
          <w:szCs w:val="32"/>
        </w:rPr>
        <w:t>。</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培训方式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培训内容分为强化阶段培训，通过专业教师的单独辅导使学生对参赛内容进行掌握和提高。</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参赛选手及</w:t>
      </w:r>
      <w:r>
        <w:rPr>
          <w:rFonts w:hint="eastAsia" w:ascii="仿宋" w:hAnsi="仿宋" w:eastAsia="仿宋" w:cs="仿宋"/>
          <w:b/>
          <w:bCs/>
          <w:sz w:val="32"/>
          <w:szCs w:val="32"/>
          <w:lang w:val="en-US" w:eastAsia="zh-CN"/>
        </w:rPr>
        <w:t>培训</w:t>
      </w:r>
      <w:r>
        <w:rPr>
          <w:rFonts w:hint="eastAsia" w:ascii="仿宋" w:hAnsi="仿宋" w:eastAsia="仿宋" w:cs="仿宋"/>
          <w:b/>
          <w:bCs/>
          <w:sz w:val="32"/>
          <w:szCs w:val="32"/>
        </w:rPr>
        <w:t>老师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参赛选手为：所有参赛选手 </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指导老师</w:t>
      </w:r>
      <w:r>
        <w:rPr>
          <w:rFonts w:hint="eastAsia" w:ascii="仿宋" w:hAnsi="仿宋" w:eastAsia="仿宋" w:cs="仿宋"/>
          <w:sz w:val="32"/>
          <w:szCs w:val="32"/>
          <w:lang w:val="en-US" w:eastAsia="zh-CN"/>
        </w:rPr>
        <w:t>（排名不分先后）</w:t>
      </w:r>
      <w:r>
        <w:rPr>
          <w:rFonts w:hint="eastAsia" w:ascii="仿宋" w:hAnsi="仿宋" w:eastAsia="仿宋" w:cs="仿宋"/>
          <w:sz w:val="32"/>
          <w:szCs w:val="32"/>
        </w:rPr>
        <w:t>：</w:t>
      </w:r>
      <w:r>
        <w:rPr>
          <w:rFonts w:hint="eastAsia" w:ascii="仿宋" w:hAnsi="仿宋" w:eastAsia="仿宋" w:cs="仿宋"/>
          <w:sz w:val="32"/>
          <w:szCs w:val="32"/>
          <w:lang w:val="en-US" w:eastAsia="zh-CN"/>
        </w:rPr>
        <w:t>章丽、侯</w:t>
      </w:r>
      <w:r>
        <w:rPr>
          <w:rFonts w:hint="eastAsia" w:ascii="仿宋" w:hAnsi="仿宋" w:eastAsia="仿宋" w:cs="仿宋"/>
          <w:sz w:val="32"/>
          <w:szCs w:val="32"/>
          <w:lang w:eastAsia="zh-CN"/>
        </w:rPr>
        <w:t>月红、</w:t>
      </w:r>
      <w:r>
        <w:rPr>
          <w:rFonts w:hint="eastAsia" w:ascii="仿宋" w:hAnsi="仿宋" w:eastAsia="仿宋" w:cs="仿宋"/>
          <w:sz w:val="32"/>
          <w:szCs w:val="32"/>
          <w:lang w:val="en-US" w:eastAsia="zh-CN"/>
        </w:rPr>
        <w:t>周兴、李秀琴、周红、陈小悠</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培训安排</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（一）培训地点：电子商务实训室及财贸大赛实训室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）培训</w:t>
      </w:r>
      <w:r>
        <w:rPr>
          <w:rFonts w:hint="eastAsia" w:ascii="仿宋" w:hAnsi="仿宋" w:eastAsia="仿宋" w:cs="仿宋"/>
          <w:sz w:val="32"/>
          <w:szCs w:val="32"/>
          <w:lang w:val="en-US" w:eastAsia="zh-CN"/>
        </w:rPr>
        <w:t>时间、内容及培训老师</w:t>
      </w:r>
      <w:r>
        <w:rPr>
          <w:rFonts w:hint="eastAsia" w:ascii="仿宋" w:hAnsi="仿宋" w:eastAsia="仿宋" w:cs="仿宋"/>
          <w:sz w:val="32"/>
          <w:szCs w:val="32"/>
        </w:rPr>
        <w:t>：</w:t>
      </w:r>
    </w:p>
    <w:tbl>
      <w:tblPr>
        <w:tblStyle w:val="7"/>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4111"/>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spacing w:line="360" w:lineRule="auto"/>
              <w:rPr>
                <w:rFonts w:cs="Times New Roman" w:asciiTheme="minorEastAsia" w:hAnsiTheme="minorEastAsia" w:eastAsiaTheme="minorEastAsia"/>
                <w:b/>
                <w:kern w:val="0"/>
                <w:sz w:val="28"/>
                <w:szCs w:val="28"/>
              </w:rPr>
            </w:pPr>
            <w:r>
              <w:rPr>
                <w:rFonts w:hint="eastAsia" w:cs="Times New Roman" w:asciiTheme="minorEastAsia" w:hAnsiTheme="minorEastAsia" w:eastAsiaTheme="minorEastAsia"/>
                <w:b/>
                <w:kern w:val="0"/>
                <w:sz w:val="28"/>
                <w:szCs w:val="28"/>
              </w:rPr>
              <w:t>时间</w:t>
            </w:r>
          </w:p>
        </w:tc>
        <w:tc>
          <w:tcPr>
            <w:tcW w:w="4111" w:type="dxa"/>
          </w:tcPr>
          <w:p>
            <w:pPr>
              <w:spacing w:line="360" w:lineRule="auto"/>
              <w:rPr>
                <w:rFonts w:cs="Times New Roman" w:asciiTheme="minorEastAsia" w:hAnsiTheme="minorEastAsia" w:eastAsiaTheme="minorEastAsia"/>
                <w:b/>
                <w:kern w:val="0"/>
                <w:sz w:val="28"/>
                <w:szCs w:val="28"/>
              </w:rPr>
            </w:pPr>
            <w:r>
              <w:rPr>
                <w:rFonts w:hint="eastAsia" w:cs="Times New Roman" w:asciiTheme="minorEastAsia" w:hAnsiTheme="minorEastAsia" w:eastAsiaTheme="minorEastAsia"/>
                <w:b/>
                <w:kern w:val="0"/>
                <w:sz w:val="28"/>
                <w:szCs w:val="28"/>
              </w:rPr>
              <w:t>内容</w:t>
            </w:r>
          </w:p>
        </w:tc>
        <w:tc>
          <w:tcPr>
            <w:tcW w:w="3075" w:type="dxa"/>
          </w:tcPr>
          <w:p>
            <w:pPr>
              <w:spacing w:line="360" w:lineRule="auto"/>
              <w:rPr>
                <w:rFonts w:hint="eastAsia" w:cs="Times New Roman" w:asciiTheme="minorEastAsia" w:hAnsiTheme="minorEastAsia" w:eastAsiaTheme="minorEastAsia"/>
                <w:b/>
                <w:kern w:val="0"/>
                <w:sz w:val="28"/>
                <w:szCs w:val="28"/>
                <w:lang w:eastAsia="zh-CN"/>
              </w:rPr>
            </w:pPr>
            <w:r>
              <w:rPr>
                <w:rFonts w:hint="eastAsia" w:cs="Times New Roman" w:asciiTheme="minorEastAsia" w:hAnsiTheme="minorEastAsia"/>
                <w:b/>
                <w:kern w:val="0"/>
                <w:sz w:val="28"/>
                <w:szCs w:val="28"/>
                <w:lang w:eastAsia="zh-CN"/>
              </w:rPr>
              <w:t>地点及培养模式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501" w:type="dxa"/>
            <w:vAlign w:val="center"/>
          </w:tcPr>
          <w:p>
            <w:pPr>
              <w:spacing w:line="360" w:lineRule="auto"/>
              <w:rPr>
                <w:rFonts w:hint="default" w:cs="Times New Roman" w:asciiTheme="minorEastAsia" w:hAnsiTheme="minorEastAsia" w:eastAsiaTheme="minorEastAsia"/>
                <w:kern w:val="0"/>
                <w:sz w:val="28"/>
                <w:szCs w:val="28"/>
                <w:lang w:val="en-US" w:eastAsia="zh-CN"/>
              </w:rPr>
            </w:pPr>
            <w:r>
              <w:rPr>
                <w:rFonts w:hint="eastAsia" w:cs="Times New Roman" w:asciiTheme="minorEastAsia" w:hAnsiTheme="minorEastAsia"/>
                <w:kern w:val="0"/>
                <w:sz w:val="28"/>
                <w:szCs w:val="28"/>
                <w:lang w:val="en-US" w:eastAsia="zh-CN"/>
              </w:rPr>
              <w:t>3.20-4.05</w:t>
            </w:r>
          </w:p>
        </w:tc>
        <w:tc>
          <w:tcPr>
            <w:tcW w:w="4111" w:type="dxa"/>
            <w:vAlign w:val="center"/>
          </w:tcPr>
          <w:p>
            <w:pPr>
              <w:spacing w:line="360" w:lineRule="auto"/>
              <w:rPr>
                <w:rFonts w:hint="eastAsia" w:cs="Times New Roman" w:asciiTheme="minorEastAsia" w:hAnsiTheme="minorEastAsia"/>
                <w:kern w:val="0"/>
                <w:sz w:val="28"/>
                <w:szCs w:val="28"/>
                <w:lang w:eastAsia="zh-CN"/>
              </w:rPr>
            </w:pPr>
            <w:r>
              <w:rPr>
                <w:rFonts w:hint="eastAsia" w:cs="Times New Roman" w:asciiTheme="minorEastAsia" w:hAnsiTheme="minorEastAsia" w:eastAsiaTheme="minorEastAsia"/>
                <w:kern w:val="0"/>
                <w:sz w:val="28"/>
                <w:szCs w:val="28"/>
              </w:rPr>
              <w:t>开设装修：开设店铺、制作店标，发挥商品整合能力与视觉营销能力，发掘顾客看点，上架商品，装饰店铺。</w:t>
            </w:r>
          </w:p>
        </w:tc>
        <w:tc>
          <w:tcPr>
            <w:tcW w:w="3075" w:type="dxa"/>
            <w:vAlign w:val="center"/>
          </w:tcPr>
          <w:p>
            <w:pPr>
              <w:spacing w:line="360" w:lineRule="auto"/>
              <w:rPr>
                <w:rFonts w:hint="eastAsia" w:cs="Times New Roman" w:asciiTheme="minorEastAsia" w:hAnsiTheme="minorEastAsia" w:eastAsiaTheme="minorEastAsia"/>
                <w:kern w:val="0"/>
                <w:sz w:val="28"/>
                <w:szCs w:val="28"/>
                <w:lang w:val="en-US" w:eastAsia="zh-CN"/>
              </w:rPr>
            </w:pPr>
            <w:r>
              <w:rPr>
                <w:rFonts w:hint="eastAsia" w:cs="Times New Roman" w:asciiTheme="minorEastAsia" w:hAnsiTheme="minorEastAsia"/>
                <w:kern w:val="0"/>
                <w:sz w:val="28"/>
                <w:szCs w:val="28"/>
                <w:lang w:eastAsia="zh-CN"/>
              </w:rPr>
              <w:t>发布</w:t>
            </w:r>
            <w:r>
              <w:rPr>
                <w:rFonts w:hint="eastAsia" w:cs="Times New Roman" w:asciiTheme="minorEastAsia" w:hAnsiTheme="minorEastAsia"/>
                <w:kern w:val="0"/>
                <w:sz w:val="28"/>
                <w:szCs w:val="28"/>
                <w:lang w:val="en-US" w:eastAsia="zh-CN"/>
              </w:rPr>
              <w:t>相关资料</w:t>
            </w:r>
            <w:r>
              <w:rPr>
                <w:rFonts w:hint="eastAsia" w:cs="Times New Roman" w:asciiTheme="minorEastAsia" w:hAnsiTheme="minorEastAsia"/>
                <w:kern w:val="0"/>
                <w:sz w:val="28"/>
                <w:szCs w:val="28"/>
                <w:lang w:eastAsia="zh-CN"/>
              </w:rPr>
              <w:t>，学生按照要求做图装修，老师指导，学生练习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501" w:type="dxa"/>
            <w:vAlign w:val="center"/>
          </w:tcPr>
          <w:p>
            <w:pPr>
              <w:spacing w:line="360" w:lineRule="auto"/>
              <w:rPr>
                <w:rFonts w:hint="default" w:cs="Times New Roman" w:asciiTheme="minorEastAsia" w:hAnsiTheme="minorEastAsia"/>
                <w:kern w:val="0"/>
                <w:sz w:val="28"/>
                <w:szCs w:val="28"/>
                <w:lang w:val="en-US" w:eastAsia="zh-CN"/>
              </w:rPr>
            </w:pPr>
            <w:r>
              <w:rPr>
                <w:rFonts w:hint="eastAsia" w:cs="Times New Roman" w:asciiTheme="minorEastAsia" w:hAnsiTheme="minorEastAsia"/>
                <w:kern w:val="0"/>
                <w:sz w:val="28"/>
                <w:szCs w:val="28"/>
                <w:lang w:val="en-US" w:eastAsia="zh-CN"/>
              </w:rPr>
              <w:t>4.06-4.28</w:t>
            </w:r>
          </w:p>
          <w:p>
            <w:pPr>
              <w:spacing w:line="360" w:lineRule="auto"/>
              <w:rPr>
                <w:rFonts w:hint="default" w:cs="Times New Roman" w:asciiTheme="minorEastAsia" w:hAnsiTheme="minorEastAsia"/>
                <w:kern w:val="0"/>
                <w:sz w:val="28"/>
                <w:szCs w:val="28"/>
                <w:lang w:val="en-US" w:eastAsia="zh-CN"/>
              </w:rPr>
            </w:pPr>
            <w:r>
              <w:rPr>
                <w:rFonts w:hint="eastAsia" w:cs="Times New Roman" w:asciiTheme="minorEastAsia" w:hAnsiTheme="minorEastAsia"/>
                <w:kern w:val="0"/>
                <w:sz w:val="28"/>
                <w:szCs w:val="28"/>
                <w:lang w:val="en-US" w:eastAsia="zh-CN"/>
              </w:rPr>
              <w:t>国庆放假期间，学生按照自己模块练习</w:t>
            </w:r>
          </w:p>
        </w:tc>
        <w:tc>
          <w:tcPr>
            <w:tcW w:w="4111" w:type="dxa"/>
            <w:vAlign w:val="center"/>
          </w:tcPr>
          <w:p>
            <w:pPr>
              <w:spacing w:line="360" w:lineRule="auto"/>
              <w:rPr>
                <w:rFonts w:cs="Times New Roman" w:asciiTheme="minorEastAsia" w:hAnsiTheme="minorEastAsia" w:eastAsiaTheme="minorEastAsia"/>
                <w:kern w:val="0"/>
                <w:sz w:val="28"/>
                <w:szCs w:val="28"/>
              </w:rPr>
            </w:pPr>
            <w:r>
              <w:rPr>
                <w:rFonts w:hint="eastAsia" w:cs="Times New Roman" w:asciiTheme="minorEastAsia" w:hAnsiTheme="minorEastAsia"/>
                <w:kern w:val="0"/>
                <w:sz w:val="28"/>
                <w:szCs w:val="28"/>
                <w:lang w:eastAsia="zh-CN"/>
              </w:rPr>
              <w:t>运营推广规则及学习</w:t>
            </w:r>
            <w:r>
              <w:rPr>
                <w:rFonts w:hint="eastAsia" w:cs="Times New Roman" w:asciiTheme="minorEastAsia" w:hAnsiTheme="minorEastAsia" w:eastAsiaTheme="minorEastAsia"/>
                <w:kern w:val="0"/>
                <w:sz w:val="28"/>
                <w:szCs w:val="28"/>
              </w:rPr>
              <w:t>运营推广，经营分析：各参赛队在同一个模拟市场环境条件下，通过目标市场分析与目标客户选择、网络营销策略组合和财务分析，使企业的效益最大化。</w:t>
            </w:r>
          </w:p>
          <w:p>
            <w:pPr>
              <w:spacing w:line="360" w:lineRule="auto"/>
              <w:rPr>
                <w:rFonts w:hint="eastAsia" w:cs="Times New Roman" w:asciiTheme="minorEastAsia" w:hAnsiTheme="minorEastAsia"/>
                <w:kern w:val="0"/>
                <w:sz w:val="28"/>
                <w:szCs w:val="28"/>
                <w:lang w:eastAsia="zh-CN"/>
              </w:rPr>
            </w:pPr>
            <w:r>
              <w:rPr>
                <w:rFonts w:hint="eastAsia" w:cs="Times New Roman" w:asciiTheme="minorEastAsia" w:hAnsiTheme="minorEastAsia" w:eastAsiaTheme="minorEastAsia"/>
                <w:kern w:val="0"/>
                <w:sz w:val="28"/>
                <w:szCs w:val="28"/>
              </w:rPr>
              <w:t>在训练的</w:t>
            </w:r>
            <w:r>
              <w:rPr>
                <w:rFonts w:hint="eastAsia" w:cs="Times New Roman" w:asciiTheme="minorEastAsia" w:hAnsiTheme="minorEastAsia"/>
                <w:kern w:val="0"/>
                <w:sz w:val="28"/>
                <w:szCs w:val="28"/>
                <w:lang w:eastAsia="zh-CN"/>
              </w:rPr>
              <w:t>同时</w:t>
            </w:r>
            <w:r>
              <w:rPr>
                <w:rFonts w:hint="eastAsia" w:cs="Times New Roman" w:asciiTheme="minorEastAsia" w:hAnsiTheme="minorEastAsia" w:eastAsiaTheme="minorEastAsia"/>
                <w:kern w:val="0"/>
                <w:sz w:val="28"/>
                <w:szCs w:val="28"/>
              </w:rPr>
              <w:t>和其他学校约网赛，通过比赛了解别人的策略，做到知己知彼。</w:t>
            </w:r>
          </w:p>
        </w:tc>
        <w:tc>
          <w:tcPr>
            <w:tcW w:w="3075" w:type="dxa"/>
            <w:vAlign w:val="center"/>
          </w:tcPr>
          <w:p>
            <w:pPr>
              <w:spacing w:line="360" w:lineRule="auto"/>
              <w:rPr>
                <w:rFonts w:hint="default" w:cs="Times New Roman" w:asciiTheme="minorEastAsia" w:hAnsiTheme="minorEastAsia" w:eastAsiaTheme="minorEastAsia"/>
                <w:kern w:val="0"/>
                <w:sz w:val="28"/>
                <w:szCs w:val="28"/>
                <w:lang w:val="en-US" w:eastAsia="zh-CN"/>
              </w:rPr>
            </w:pPr>
            <w:r>
              <w:rPr>
                <w:rFonts w:hint="eastAsia" w:cs="Times New Roman" w:asciiTheme="minorEastAsia" w:hAnsiTheme="minorEastAsia"/>
                <w:kern w:val="0"/>
                <w:sz w:val="28"/>
                <w:szCs w:val="28"/>
                <w:lang w:val="en-US" w:eastAsia="zh-CN"/>
              </w:rPr>
              <w:t>以学生为主，老师解读规则，讲解要点，学生模拟比赛。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rPr>
                <w:rFonts w:hint="default" w:cs="Times New Roman" w:asciiTheme="minorEastAsia" w:hAnsiTheme="minorEastAsia" w:eastAsiaTheme="minorEastAsia"/>
                <w:kern w:val="0"/>
                <w:sz w:val="28"/>
                <w:szCs w:val="28"/>
                <w:lang w:val="en-US" w:eastAsia="zh-CN"/>
              </w:rPr>
            </w:pPr>
            <w:r>
              <w:rPr>
                <w:rFonts w:hint="eastAsia" w:cs="Times New Roman" w:asciiTheme="minorEastAsia" w:hAnsiTheme="minorEastAsia"/>
                <w:kern w:val="0"/>
                <w:sz w:val="28"/>
                <w:szCs w:val="28"/>
                <w:lang w:val="en-US" w:eastAsia="zh-CN"/>
              </w:rPr>
              <w:t>4.28至（院赛前）</w:t>
            </w:r>
          </w:p>
        </w:tc>
        <w:tc>
          <w:tcPr>
            <w:tcW w:w="4111" w:type="dxa"/>
          </w:tcPr>
          <w:p>
            <w:pPr>
              <w:spacing w:line="360" w:lineRule="auto"/>
              <w:rPr>
                <w:rFonts w:cs="Times New Roman" w:asciiTheme="minorEastAsia" w:hAnsiTheme="minorEastAsia" w:eastAsiaTheme="minorEastAsia"/>
                <w:kern w:val="0"/>
                <w:sz w:val="28"/>
                <w:szCs w:val="28"/>
              </w:rPr>
            </w:pPr>
            <w:r>
              <w:rPr>
                <w:rFonts w:hint="eastAsia" w:cs="Times New Roman" w:asciiTheme="minorEastAsia" w:hAnsiTheme="minorEastAsia"/>
                <w:kern w:val="0"/>
                <w:sz w:val="28"/>
                <w:szCs w:val="28"/>
                <w:lang w:eastAsia="zh-CN"/>
              </w:rPr>
              <w:t>各个</w:t>
            </w:r>
            <w:r>
              <w:rPr>
                <w:rFonts w:hint="eastAsia" w:cs="Times New Roman" w:asciiTheme="minorEastAsia" w:hAnsiTheme="minorEastAsia" w:eastAsiaTheme="minorEastAsia"/>
                <w:kern w:val="0"/>
                <w:sz w:val="28"/>
                <w:szCs w:val="28"/>
              </w:rPr>
              <w:t>模块补缺补差，和其他学校约别赛，通过比赛发现自己的不足和完赛自己的策略。</w:t>
            </w:r>
          </w:p>
        </w:tc>
        <w:tc>
          <w:tcPr>
            <w:tcW w:w="3075" w:type="dxa"/>
            <w:vAlign w:val="center"/>
          </w:tcPr>
          <w:p>
            <w:pPr>
              <w:spacing w:line="360" w:lineRule="auto"/>
              <w:rPr>
                <w:rFonts w:hint="default" w:cs="Times New Roman" w:asciiTheme="minorEastAsia" w:hAnsiTheme="minorEastAsia" w:eastAsiaTheme="minorEastAsia"/>
                <w:kern w:val="0"/>
                <w:sz w:val="28"/>
                <w:szCs w:val="28"/>
                <w:lang w:val="en-US" w:eastAsia="zh-CN"/>
              </w:rPr>
            </w:pPr>
            <w:r>
              <w:rPr>
                <w:rFonts w:hint="eastAsia" w:cs="Times New Roman" w:asciiTheme="minorEastAsia" w:hAnsiTheme="minorEastAsia"/>
                <w:kern w:val="0"/>
                <w:sz w:val="28"/>
                <w:szCs w:val="28"/>
                <w:lang w:val="en-US" w:eastAsia="zh-CN"/>
              </w:rPr>
              <w:t>按照网上约赛时间进行训练指导，平均每2天要完成一次约赛。（每次比赛时间需要6小时）</w:t>
            </w:r>
          </w:p>
        </w:tc>
      </w:tr>
    </w:tbl>
    <w:p>
      <w:pPr>
        <w:spacing w:line="360" w:lineRule="auto"/>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六、其他要求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参加培训的学生，在训练期间，要遵守学校的各项规章制度，遵守大赛学生管理办法。</w:t>
      </w:r>
    </w:p>
    <w:p>
      <w:pPr>
        <w:spacing w:line="360" w:lineRule="auto"/>
        <w:ind w:firstLine="480" w:firstLineChars="200"/>
        <w:rPr>
          <w:rFonts w:asciiTheme="minorEastAsia" w:hAnsiTheme="minorEastAsia"/>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63873"/>
    <w:multiLevelType w:val="singleLevel"/>
    <w:tmpl w:val="E1663873"/>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ZTM5NmRiMDEyYTc4ZTc5MzYxZTBjNzBlNDVmOWYifQ=="/>
  </w:docVars>
  <w:rsids>
    <w:rsidRoot w:val="00000000"/>
    <w:rsid w:val="008B73C2"/>
    <w:rsid w:val="08792906"/>
    <w:rsid w:val="0A352CD4"/>
    <w:rsid w:val="11A26FBC"/>
    <w:rsid w:val="14C173FE"/>
    <w:rsid w:val="15190FE8"/>
    <w:rsid w:val="17DA41FF"/>
    <w:rsid w:val="1B0B3181"/>
    <w:rsid w:val="286D0FD7"/>
    <w:rsid w:val="34C74165"/>
    <w:rsid w:val="36820344"/>
    <w:rsid w:val="3CDF1020"/>
    <w:rsid w:val="48E360C8"/>
    <w:rsid w:val="4B141FAC"/>
    <w:rsid w:val="4B5F031E"/>
    <w:rsid w:val="4D3A507C"/>
    <w:rsid w:val="58BF577E"/>
    <w:rsid w:val="5F2C67EF"/>
    <w:rsid w:val="6EDE13B6"/>
    <w:rsid w:val="6FE169C0"/>
    <w:rsid w:val="74C4282B"/>
    <w:rsid w:val="76DB3391"/>
    <w:rsid w:val="7C773348"/>
    <w:rsid w:val="7D346682"/>
    <w:rsid w:val="7FAB1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autoRedefine/>
    <w:semiHidden/>
    <w:qFormat/>
    <w:uiPriority w:val="0"/>
    <w:rPr>
      <w:rFonts w:ascii="仿宋" w:hAnsi="仿宋" w:eastAsia="仿宋" w:cs="仿宋"/>
      <w:sz w:val="24"/>
      <w:szCs w:val="24"/>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Arial" w:hAnsi="Arial" w:eastAsia="Arial" w:cs="Arial"/>
      <w:sz w:val="21"/>
      <w:szCs w:val="21"/>
      <w:lang w:val="en-US" w:eastAsia="en-US" w:bidi="ar-SA"/>
    </w:rPr>
  </w:style>
  <w:style w:type="paragraph" w:customStyle="1" w:styleId="1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9619</Words>
  <Characters>10032</Characters>
  <Lines>0</Lines>
  <Paragraphs>0</Paragraphs>
  <TotalTime>14</TotalTime>
  <ScaleCrop>false</ScaleCrop>
  <LinksUpToDate>false</LinksUpToDate>
  <CharactersWithSpaces>10307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文档存本地丢失不负责</cp:lastModifiedBy>
  <dcterms:modified xsi:type="dcterms:W3CDTF">2024-04-23T01:24:04Z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652260BC61CB4F48B6955A08C66DD360_13</vt:lpwstr>
  </property>
</Properties>
</file>