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b/>
          <w:bCs/>
          <w:sz w:val="36"/>
          <w:szCs w:val="36"/>
          <w:lang w:val="en-US" w:eastAsia="zh-CN"/>
        </w:rPr>
      </w:pPr>
    </w:p>
    <w:p>
      <w:pPr>
        <w:bidi w:val="0"/>
        <w:jc w:val="center"/>
        <w:rPr>
          <w:rFonts w:hint="eastAsia" w:ascii="仿宋" w:hAnsi="仿宋" w:eastAsia="仿宋" w:cs="仿宋"/>
          <w:b/>
          <w:bCs/>
          <w:sz w:val="36"/>
          <w:szCs w:val="36"/>
          <w:lang w:val="en-US" w:eastAsia="zh-CN"/>
        </w:rPr>
      </w:pPr>
    </w:p>
    <w:p>
      <w:pPr>
        <w:bidi w:val="0"/>
        <w:jc w:val="center"/>
        <w:rPr>
          <w:rFonts w:hint="eastAsia" w:ascii="仿宋" w:hAnsi="仿宋" w:eastAsia="仿宋" w:cs="仿宋"/>
          <w:b/>
          <w:bCs/>
          <w:sz w:val="36"/>
          <w:szCs w:val="36"/>
          <w:lang w:val="en-US" w:eastAsia="zh-CN"/>
        </w:rPr>
      </w:pPr>
    </w:p>
    <w:p>
      <w:pPr>
        <w:bidi w:val="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2024年“尚能杯”院级职业技能大赛</w:t>
      </w:r>
    </w:p>
    <w:p>
      <w:pPr>
        <w:bidi w:val="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“供应链管理”赛项</w:t>
      </w: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sdt>
      <w:sdtPr>
        <w:rPr>
          <w:rFonts w:ascii="宋体" w:hAnsi="宋体" w:eastAsia="宋体" w:cstheme="minorBidi"/>
          <w:kern w:val="2"/>
          <w:sz w:val="21"/>
          <w:szCs w:val="24"/>
          <w:lang w:val="en-US" w:eastAsia="zh-CN" w:bidi="ar-SA"/>
        </w:rPr>
        <w:id w:val="147456432"/>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8306"/>
            </w:tabs>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1.</w:t>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TOC \o "1-1" \h \u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HYPERLINK \l _Toc17706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“供应链管理”赛项竞赛方案</w:t>
          </w:r>
          <w:r>
            <w:rPr>
              <w:rFonts w:hint="eastAsia" w:ascii="仿宋" w:hAnsi="仿宋" w:eastAsia="仿宋" w:cs="仿宋"/>
              <w:b/>
              <w:bCs/>
              <w:color w:val="000000"/>
              <w:kern w:val="0"/>
              <w:sz w:val="36"/>
              <w:szCs w:val="36"/>
              <w:lang w:val="en-US" w:eastAsia="zh-CN" w:bidi="ar"/>
            </w:rPr>
            <w:tab/>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PAGEREF _Toc17706 \h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2</w:t>
          </w:r>
          <w:r>
            <w:rPr>
              <w:rFonts w:hint="eastAsia" w:ascii="仿宋" w:hAnsi="仿宋" w:eastAsia="仿宋" w:cs="仿宋"/>
              <w:b/>
              <w:bCs/>
              <w:color w:val="000000"/>
              <w:kern w:val="0"/>
              <w:sz w:val="36"/>
              <w:szCs w:val="36"/>
              <w:lang w:val="en-US" w:eastAsia="zh-CN" w:bidi="ar"/>
            </w:rPr>
            <w:fldChar w:fldCharType="end"/>
          </w:r>
          <w:r>
            <w:rPr>
              <w:rFonts w:hint="eastAsia" w:ascii="仿宋" w:hAnsi="仿宋" w:eastAsia="仿宋" w:cs="仿宋"/>
              <w:b/>
              <w:bCs/>
              <w:color w:val="000000"/>
              <w:kern w:val="0"/>
              <w:sz w:val="36"/>
              <w:szCs w:val="36"/>
              <w:lang w:val="en-US" w:eastAsia="zh-CN" w:bidi="ar"/>
            </w:rPr>
            <w:fldChar w:fldCharType="end"/>
          </w:r>
        </w:p>
        <w:p>
          <w:pPr>
            <w:pStyle w:val="6"/>
            <w:tabs>
              <w:tab w:val="right" w:leader="dot" w:pos="8306"/>
            </w:tabs>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w:t>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HYPERLINK \l _Toc11979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“供应链管理”赛项竞赛规程</w:t>
          </w:r>
          <w:r>
            <w:rPr>
              <w:rFonts w:hint="eastAsia" w:ascii="仿宋" w:hAnsi="仿宋" w:eastAsia="仿宋" w:cs="仿宋"/>
              <w:b/>
              <w:bCs/>
              <w:color w:val="000000"/>
              <w:kern w:val="0"/>
              <w:sz w:val="36"/>
              <w:szCs w:val="36"/>
              <w:lang w:val="en-US" w:eastAsia="zh-CN" w:bidi="ar"/>
            </w:rPr>
            <w:tab/>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PAGEREF _Toc11979 \h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4</w:t>
          </w:r>
          <w:r>
            <w:rPr>
              <w:rFonts w:hint="eastAsia" w:ascii="仿宋" w:hAnsi="仿宋" w:eastAsia="仿宋" w:cs="仿宋"/>
              <w:b/>
              <w:bCs/>
              <w:color w:val="000000"/>
              <w:kern w:val="0"/>
              <w:sz w:val="36"/>
              <w:szCs w:val="36"/>
              <w:lang w:val="en-US" w:eastAsia="zh-CN" w:bidi="ar"/>
            </w:rPr>
            <w:fldChar w:fldCharType="end"/>
          </w:r>
          <w:r>
            <w:rPr>
              <w:rFonts w:hint="eastAsia" w:ascii="仿宋" w:hAnsi="仿宋" w:eastAsia="仿宋" w:cs="仿宋"/>
              <w:b/>
              <w:bCs/>
              <w:color w:val="000000"/>
              <w:kern w:val="0"/>
              <w:sz w:val="36"/>
              <w:szCs w:val="36"/>
              <w:lang w:val="en-US" w:eastAsia="zh-CN" w:bidi="ar"/>
            </w:rPr>
            <w:fldChar w:fldCharType="end"/>
          </w:r>
        </w:p>
        <w:p>
          <w:pPr>
            <w:pStyle w:val="6"/>
            <w:tabs>
              <w:tab w:val="right" w:leader="dot" w:pos="8306"/>
            </w:tabs>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3.</w:t>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HYPERLINK \l _Toc28265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“供应链管理”赛项评分标准</w:t>
          </w:r>
          <w:r>
            <w:rPr>
              <w:rFonts w:hint="eastAsia" w:ascii="仿宋" w:hAnsi="仿宋" w:eastAsia="仿宋" w:cs="仿宋"/>
              <w:b/>
              <w:bCs/>
              <w:color w:val="000000"/>
              <w:kern w:val="0"/>
              <w:sz w:val="36"/>
              <w:szCs w:val="36"/>
              <w:lang w:val="en-US" w:eastAsia="zh-CN" w:bidi="ar"/>
            </w:rPr>
            <w:tab/>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PAGEREF _Toc28265 \h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9</w:t>
          </w:r>
          <w:r>
            <w:rPr>
              <w:rFonts w:hint="eastAsia" w:ascii="仿宋" w:hAnsi="仿宋" w:eastAsia="仿宋" w:cs="仿宋"/>
              <w:b/>
              <w:bCs/>
              <w:color w:val="000000"/>
              <w:kern w:val="0"/>
              <w:sz w:val="36"/>
              <w:szCs w:val="36"/>
              <w:lang w:val="en-US" w:eastAsia="zh-CN" w:bidi="ar"/>
            </w:rPr>
            <w:fldChar w:fldCharType="end"/>
          </w:r>
          <w:r>
            <w:rPr>
              <w:rFonts w:hint="eastAsia" w:ascii="仿宋" w:hAnsi="仿宋" w:eastAsia="仿宋" w:cs="仿宋"/>
              <w:b/>
              <w:bCs/>
              <w:color w:val="000000"/>
              <w:kern w:val="0"/>
              <w:sz w:val="36"/>
              <w:szCs w:val="36"/>
              <w:lang w:val="en-US" w:eastAsia="zh-CN" w:bidi="ar"/>
            </w:rPr>
            <w:fldChar w:fldCharType="end"/>
          </w:r>
        </w:p>
        <w:p>
          <w:pPr>
            <w:pStyle w:val="6"/>
            <w:tabs>
              <w:tab w:val="right" w:leader="dot" w:pos="8306"/>
            </w:tabs>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4.</w:t>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HYPERLINK \l _Toc18880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“供应链管理”赛项训练计划</w:t>
          </w:r>
          <w:r>
            <w:rPr>
              <w:rFonts w:hint="eastAsia" w:ascii="仿宋" w:hAnsi="仿宋" w:eastAsia="仿宋" w:cs="仿宋"/>
              <w:b/>
              <w:bCs/>
              <w:color w:val="000000"/>
              <w:kern w:val="0"/>
              <w:sz w:val="36"/>
              <w:szCs w:val="36"/>
              <w:lang w:val="en-US" w:eastAsia="zh-CN" w:bidi="ar"/>
            </w:rPr>
            <w:tab/>
          </w:r>
          <w:r>
            <w:rPr>
              <w:rFonts w:hint="eastAsia" w:ascii="仿宋" w:hAnsi="仿宋" w:eastAsia="仿宋" w:cs="仿宋"/>
              <w:b/>
              <w:bCs/>
              <w:color w:val="000000"/>
              <w:kern w:val="0"/>
              <w:sz w:val="36"/>
              <w:szCs w:val="36"/>
              <w:lang w:val="en-US" w:eastAsia="zh-CN" w:bidi="ar"/>
            </w:rPr>
            <w:fldChar w:fldCharType="begin"/>
          </w:r>
          <w:r>
            <w:rPr>
              <w:rFonts w:hint="eastAsia" w:ascii="仿宋" w:hAnsi="仿宋" w:eastAsia="仿宋" w:cs="仿宋"/>
              <w:b/>
              <w:bCs/>
              <w:color w:val="000000"/>
              <w:kern w:val="0"/>
              <w:sz w:val="36"/>
              <w:szCs w:val="36"/>
              <w:lang w:val="en-US" w:eastAsia="zh-CN" w:bidi="ar"/>
            </w:rPr>
            <w:instrText xml:space="preserve"> PAGEREF _Toc18880 \h </w:instrText>
          </w:r>
          <w:r>
            <w:rPr>
              <w:rFonts w:hint="eastAsia" w:ascii="仿宋" w:hAnsi="仿宋" w:eastAsia="仿宋" w:cs="仿宋"/>
              <w:b/>
              <w:bCs/>
              <w:color w:val="000000"/>
              <w:kern w:val="0"/>
              <w:sz w:val="36"/>
              <w:szCs w:val="36"/>
              <w:lang w:val="en-US" w:eastAsia="zh-CN" w:bidi="ar"/>
            </w:rPr>
            <w:fldChar w:fldCharType="separate"/>
          </w:r>
          <w:r>
            <w:rPr>
              <w:rFonts w:hint="eastAsia" w:ascii="仿宋" w:hAnsi="仿宋" w:eastAsia="仿宋" w:cs="仿宋"/>
              <w:b/>
              <w:bCs/>
              <w:color w:val="000000"/>
              <w:kern w:val="0"/>
              <w:sz w:val="36"/>
              <w:szCs w:val="36"/>
              <w:lang w:val="en-US" w:eastAsia="zh-CN" w:bidi="ar"/>
            </w:rPr>
            <w:t>11</w:t>
          </w:r>
          <w:r>
            <w:rPr>
              <w:rFonts w:hint="eastAsia" w:ascii="仿宋" w:hAnsi="仿宋" w:eastAsia="仿宋" w:cs="仿宋"/>
              <w:b/>
              <w:bCs/>
              <w:color w:val="000000"/>
              <w:kern w:val="0"/>
              <w:sz w:val="36"/>
              <w:szCs w:val="36"/>
              <w:lang w:val="en-US" w:eastAsia="zh-CN" w:bidi="ar"/>
            </w:rPr>
            <w:fldChar w:fldCharType="end"/>
          </w:r>
          <w:r>
            <w:rPr>
              <w:rFonts w:hint="eastAsia" w:ascii="仿宋" w:hAnsi="仿宋" w:eastAsia="仿宋" w:cs="仿宋"/>
              <w:b/>
              <w:bCs/>
              <w:color w:val="000000"/>
              <w:kern w:val="0"/>
              <w:sz w:val="36"/>
              <w:szCs w:val="36"/>
              <w:lang w:val="en-US" w:eastAsia="zh-CN" w:bidi="ar"/>
            </w:rPr>
            <w:fldChar w:fldCharType="end"/>
          </w:r>
        </w:p>
        <w:p>
          <w:r>
            <w:rPr>
              <w:rFonts w:hint="eastAsia" w:ascii="仿宋" w:hAnsi="仿宋" w:eastAsia="仿宋" w:cs="仿宋"/>
              <w:b/>
              <w:bCs/>
              <w:color w:val="000000"/>
              <w:kern w:val="0"/>
              <w:sz w:val="36"/>
              <w:szCs w:val="36"/>
              <w:lang w:val="en-US" w:eastAsia="zh-CN" w:bidi="ar"/>
            </w:rPr>
            <w:fldChar w:fldCharType="end"/>
          </w:r>
        </w:p>
      </w:sdtContent>
    </w:sdt>
    <w:p>
      <w:pP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br w:type="page"/>
      </w:r>
    </w:p>
    <w:p>
      <w:pPr>
        <w:bidi w:val="0"/>
        <w:jc w:val="left"/>
        <w:rPr>
          <w:rFonts w:hint="eastAsia" w:asciiTheme="minorHAnsi" w:hAnsiTheme="minorHAnsi" w:eastAsiaTheme="minorEastAsia" w:cstheme="minorBidi"/>
          <w:kern w:val="2"/>
          <w:sz w:val="21"/>
          <w:szCs w:val="24"/>
          <w:lang w:val="en-US" w:eastAsia="zh-CN" w:bidi="ar-SA"/>
        </w:rPr>
      </w:pPr>
      <w:bookmarkStart w:id="4" w:name="_GoBack"/>
      <w:bookmarkEnd w:id="4"/>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pStyle w:val="12"/>
        <w:bidi w:val="0"/>
        <w:rPr>
          <w:rFonts w:hint="eastAsia"/>
          <w:lang w:val="en-US" w:eastAsia="zh-CN"/>
        </w:rPr>
      </w:pPr>
      <w:bookmarkStart w:id="0" w:name="_Toc17706"/>
      <w:r>
        <w:rPr>
          <w:rFonts w:hint="eastAsia"/>
          <w:lang w:val="en-US" w:eastAsia="zh-CN"/>
        </w:rPr>
        <w:t>“供应链管理”赛项竞赛方案</w:t>
      </w:r>
      <w:bookmarkEnd w:id="0"/>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一、竞赛组织机构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任：何松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执行主任：孙忠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委 员（排名不分先后）：王新云、周旺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下设技术委员会和仲裁委员会。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（一）技术委员会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 王新云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（排名不分先后）:王风芹、吴晶晶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（二）仲裁委员会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任:徐艳红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成 员:李润启</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二、赛项设置和承办单位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（一）赛项名称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供应链管理（英 文 名 称 ：Supply Chain Management）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（二）承办单位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三、参赛对象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经济与管理系在校学生，以现代物流管理专业为主，允许跨专业组队。</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四、奖项设置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（一）参赛队伍 6-10（含10）支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设一等奖 1 项，二等奖 1 项，三等奖 1 项。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（二）参赛队伍 10 支以上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按一等奖 10%、二等奖 20%、三等奖 30%比例设置奖励。</w:t>
      </w:r>
    </w:p>
    <w:p>
      <w:pPr>
        <w:keepNext w:val="0"/>
        <w:keepLines w:val="0"/>
        <w:widowControl/>
        <w:suppressLineNumbers w:val="0"/>
        <w:jc w:val="left"/>
        <w:rPr>
          <w:rFonts w:hint="default"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五、竞赛时间与地点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（一）竞赛时间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2024年4月1日-10日举办，具体时间由经济与管理系确定。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（二）竞赛地点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财贸大赛训练实训室。</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六、其他要求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（一）本赛项组织机构负责做好赛项的宣传、报名及赛项组织工作。本赛项不设指导老师。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（二）本赛项组织机构负责做好好赛项的技术培训和组织工作；加强参赛人员的职业道德和操作安全规则教育，确保文明参赛、安全比赛。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（三）竞赛成绩由本赛项组织机构在本部门网站公示无异议后，报教务处统一汇总，学院统一公布比赛结果。</w:t>
      </w:r>
    </w:p>
    <w:p>
      <w:pP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2024年池州职业技术学院技能大赛</w:t>
      </w:r>
    </w:p>
    <w:p>
      <w:pPr>
        <w:pStyle w:val="12"/>
        <w:bidi w:val="0"/>
        <w:rPr>
          <w:rFonts w:hint="eastAsia"/>
          <w:lang w:val="en-US" w:eastAsia="zh-CN"/>
        </w:rPr>
      </w:pPr>
      <w:bookmarkStart w:id="1" w:name="_Toc11979"/>
      <w:r>
        <w:rPr>
          <w:rFonts w:hint="eastAsia"/>
          <w:lang w:val="en-US" w:eastAsia="zh-CN"/>
        </w:rPr>
        <w:t>“供应链管理”赛项竞赛规程</w:t>
      </w:r>
      <w:bookmarkEnd w:id="1"/>
    </w:p>
    <w:p>
      <w:pPr>
        <w:rPr>
          <w:rFonts w:hint="eastAsia" w:ascii="仿宋" w:hAnsi="仿宋" w:eastAsia="仿宋" w:cs="仿宋"/>
        </w:rPr>
      </w:pPr>
    </w:p>
    <w:p>
      <w:pPr>
        <w:keepNext w:val="0"/>
        <w:keepLines w:val="0"/>
        <w:widowControl/>
        <w:suppressLineNumbers w:val="0"/>
        <w:jc w:val="left"/>
        <w:rPr>
          <w:rFonts w:hint="eastAsia" w:ascii="仿宋" w:hAnsi="仿宋" w:eastAsia="仿宋" w:cs="仿宋"/>
        </w:rPr>
      </w:pPr>
      <w:r>
        <w:rPr>
          <w:rFonts w:hint="eastAsia" w:ascii="黑体" w:hAnsi="黑体" w:eastAsia="黑体" w:cs="黑体"/>
          <w:b w:val="0"/>
          <w:bCs w:val="0"/>
          <w:color w:val="000000"/>
          <w:kern w:val="0"/>
          <w:sz w:val="32"/>
          <w:szCs w:val="32"/>
          <w:lang w:val="en-US" w:eastAsia="zh-CN" w:bidi="ar"/>
        </w:rPr>
        <w:t>一、赛项名称</w:t>
      </w:r>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赛项名称：供应链管理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英 文 名 称 ：Supply Chain Management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赛项组别：高职组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赛项归属：财经商贸大类 </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二、竞赛目的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为深入贯彻党的二十大精神，“加快构建以国内大循环为主体、国内国际双循环相互促进的新发展格局；构建全国统一大市场，着力提升产业链供应链韧性和安全水平；建设高效顺畅的流通体系，降低物流成本”。落实国家“十四五”规划要求，“分行业做好供应链战略设计和精准施策，形成具有更强创新力、更高附加值、更安全可靠的产业链供应链。推进制造业补链强链，强化资源、技术、装备支撑，加强国际产业安全合作，推动产业链供应链多元化”。深入挖掘供应链数字化应用场景，建设以互联网为核心、大数据为支撑、智慧化为牵引的供应链服务新体系，深化高校创新创业教育改革，加强供应链相关学科专业建设，培养多层次、复合型高端供应链人才，对接新技术、新产业、新业态、新模式，促进职普融通、产教融合、科创融汇，满足产教协同育人目标，引领专业建设和教学改革，促进高校毕业生高质量创业就业，满足行业企业对供应链人才的需求。赛项以物流职业技能为背景，通过竞赛检验物流类人才培养质量，创新物流类人才培养模式，引领和促进高职院校物流类专业教学改革，激发和调动行业企业关注和参与物流类专业教学改革，提升专业人才的市场匹配度，培养学生职业技能和工匠精神，展示参赛选手在组织管理、专业团队协作、现场问题分析与处理，高效工作、质量与成本控制、安全及文明生产等方面的职业素养。 </w:t>
      </w:r>
    </w:p>
    <w:p>
      <w:pPr>
        <w:keepNext w:val="0"/>
        <w:keepLines w:val="0"/>
        <w:widowControl/>
        <w:suppressLineNumbers w:val="0"/>
        <w:jc w:val="left"/>
        <w:rPr>
          <w:rFonts w:hint="eastAsia" w:ascii="仿宋" w:hAnsi="仿宋" w:eastAsia="仿宋" w:cs="仿宋"/>
        </w:rPr>
      </w:pPr>
      <w:r>
        <w:rPr>
          <w:rFonts w:hint="eastAsia" w:ascii="黑体" w:hAnsi="黑体" w:eastAsia="黑体" w:cs="黑体"/>
          <w:b w:val="0"/>
          <w:bCs w:val="0"/>
          <w:color w:val="000000"/>
          <w:kern w:val="0"/>
          <w:sz w:val="32"/>
          <w:szCs w:val="32"/>
          <w:lang w:val="en-US" w:eastAsia="zh-CN" w:bidi="ar"/>
        </w:rPr>
        <w:t>三、竞赛时间、地点</w:t>
      </w:r>
      <w:r>
        <w:rPr>
          <w:rFonts w:hint="eastAsia" w:ascii="仿宋" w:hAnsi="仿宋" w:eastAsia="仿宋" w:cs="仿宋"/>
          <w:b/>
          <w:bCs/>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rPr>
      </w:pPr>
      <w:r>
        <w:rPr>
          <w:rFonts w:hint="eastAsia" w:ascii="仿宋" w:hAnsi="仿宋" w:eastAsia="仿宋" w:cs="仿宋"/>
          <w:b/>
          <w:bCs/>
          <w:color w:val="000000"/>
          <w:kern w:val="0"/>
          <w:sz w:val="24"/>
          <w:szCs w:val="24"/>
          <w:lang w:val="en-US" w:eastAsia="zh-CN" w:bidi="ar"/>
        </w:rPr>
        <w:t xml:space="preserve">（一）比赛时间安排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赛事计划持续进行3天，具体时间另行公布。</w:t>
      </w:r>
    </w:p>
    <w:p>
      <w:pPr>
        <w:keepNext w:val="0"/>
        <w:keepLines w:val="0"/>
        <w:widowControl/>
        <w:suppressLineNumbers w:val="0"/>
        <w:jc w:val="left"/>
        <w:rPr>
          <w:rFonts w:hint="eastAsia" w:ascii="仿宋" w:hAnsi="仿宋" w:eastAsia="仿宋" w:cs="仿宋"/>
        </w:rPr>
      </w:pPr>
      <w:r>
        <w:rPr>
          <w:rFonts w:hint="eastAsia" w:ascii="仿宋" w:hAnsi="仿宋" w:eastAsia="仿宋" w:cs="仿宋"/>
          <w:b/>
          <w:bCs/>
          <w:color w:val="000000"/>
          <w:kern w:val="0"/>
          <w:sz w:val="24"/>
          <w:szCs w:val="24"/>
          <w:lang w:val="en-US" w:eastAsia="zh-CN" w:bidi="ar"/>
        </w:rPr>
        <w:t xml:space="preserve">（二）竞赛地点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具体地点尚能楼财贸大赛训练实训室。 </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四、竞赛内容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本赛项根据供应链数字化、智慧化发展趋势，对接供应链领域的前沿技术方法和行业标准，由供应链仿真运营一个模块组成。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供应链仿真运营模块目标是考查选手团队在对抗环境下应用供应链思想与工具，完成供应链的各项运营活动的能力。内容包括：模拟运营一家虚拟企业一年期的供 应链运营全过程；参赛人员可通过市场分析、客户分析、供应商分析、区域配套分析等确定供应链运营整体思路，并进行融资贷款、市场竞标、工厂选址、生产管理、产能升级、品质提升、供应商协议签订、原料采购、物流管理等环节的操作。竞赛过程每个季度为一个阶段，每个阶段结束后暂停5分钟，所有阶段完成后，系统自动根据指标进行评分。 </w:t>
      </w:r>
    </w:p>
    <w:p>
      <w:pPr>
        <w:keepNext w:val="0"/>
        <w:keepLines w:val="0"/>
        <w:widowControl/>
        <w:suppressLineNumbers w:val="0"/>
        <w:jc w:val="left"/>
        <w:rPr>
          <w:rFonts w:hint="eastAsia" w:ascii="仿宋" w:hAnsi="仿宋" w:eastAsia="仿宋" w:cs="仿宋"/>
        </w:rPr>
      </w:pPr>
      <w:r>
        <w:rPr>
          <w:rFonts w:hint="eastAsia" w:ascii="黑体" w:hAnsi="黑体" w:eastAsia="黑体" w:cs="黑体"/>
          <w:b w:val="0"/>
          <w:bCs w:val="0"/>
          <w:color w:val="000000"/>
          <w:kern w:val="0"/>
          <w:sz w:val="32"/>
          <w:szCs w:val="32"/>
          <w:lang w:val="en-US" w:eastAsia="zh-CN" w:bidi="ar"/>
        </w:rPr>
        <w:t>五、竞赛规则</w:t>
      </w:r>
      <w:r>
        <w:rPr>
          <w:rFonts w:hint="eastAsia" w:ascii="仿宋" w:hAnsi="仿宋" w:eastAsia="仿宋" w:cs="仿宋"/>
          <w:b/>
          <w:bCs/>
          <w:color w:val="000000"/>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（一）报名资格及参赛队伍要求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1.参赛队及参赛选手资格：参赛选手须为我院全日制在籍学生或五年制高职四、五年级学生。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2.组队要求：每支参赛队伍参赛选手4人。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3.参赛要求：每个参赛队的选手必须为本院校在籍学生，每队指导教师1名，须为本院校专兼职教师。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（二）比赛期间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1.各参赛队伍打开电脑，根据对应的账号密码进入竞赛平台，按照软件设定的比赛时间提前进入软件，比赛开始时间到了，即可开始比赛。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竞赛过程中，如有疑问，参赛选手举手示意，项目评委应按照有关要求及时予以答疑。如遇设备或软件等故障，参赛选手举手示意。项目评委、技术人员等应及时予以解决。确因计算机软件或硬件故障，致使操作无法继续的，经项目评委确认，予以启用备用计算机。如遇身体不适，参赛选手示意，现场医务人员按应急预案救治。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（三）成绩评定及公布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1.成绩评定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比赛评分由三次计分赛的总分值组成。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若参赛队伍成绩总分一致，按第三次计分赛成绩的高低进行排序。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2.成绩公布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所有竞赛结束后评委根据软件提供的比赛结果对各参赛团队成绩汇总成最终成绩单，进行公示。</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六、奖项设定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比赛设置一等奖1名，二等奖1名，三等奖1名。</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 xml:space="preserve">七、技术规范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（一）技术标准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23011-2022 《数字化转型价值效益参考模型》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23050-2022 《供应链数字化管理指南》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23022-2022 《生产设备运行管理规范》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23023-2022 《生产设备运行绩效评价指标集》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41834-2022 《智慧物流服务指南》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25103-2010 供应链管理业务参考模型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24420-2009 供应链风险管理指南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GB/Z 26337.1-2010 供应链管理 第1部分：综述与基本原理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GB/T 26337.2-2011 供应链管理 第2部分：SCM术语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（二）国家职业技能标准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归属职业工种及编号：供应链管理师（4-02-06-05）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归属职业技术标准：《人力资源社会保障部办公厅关于颁布物流服务师等18个国家职业技能标准的通知》（人社厅发〔2020〕102号文件）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（三）专业教学标准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《高等职业教育专业简介（2022年）》</w:t>
      </w:r>
    </w:p>
    <w:p>
      <w:pPr>
        <w:rPr>
          <w:rFonts w:hint="eastAsia" w:ascii="仿宋" w:hAnsi="仿宋" w:eastAsia="仿宋" w:cs="仿宋"/>
        </w:rPr>
      </w:pPr>
    </w:p>
    <w:p>
      <w:pP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pStyle w:val="12"/>
        <w:bidi w:val="0"/>
        <w:rPr>
          <w:rFonts w:hint="eastAsia"/>
          <w:lang w:val="en-US" w:eastAsia="zh-CN"/>
        </w:rPr>
      </w:pPr>
      <w:bookmarkStart w:id="2" w:name="_Toc28265"/>
      <w:r>
        <w:rPr>
          <w:rFonts w:hint="eastAsia"/>
          <w:lang w:val="en-US" w:eastAsia="zh-CN"/>
        </w:rPr>
        <w:t>“供应链管理”赛项评分标准</w:t>
      </w:r>
      <w:bookmarkEnd w:id="2"/>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本赛项两个模块成绩评定全部由计算机自动评分，做到公开、公平、公正。具体分值分布如下：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综合分数 = 指标分数 × 0.3 + 排名分数 × 0.7</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指标分数计算规则如下：</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未参与指标分数计0分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1、净资产 = 总资产（固定资产 + 库存货值 + 账户资金）- 负债（应还贷款 + 应付采购款）</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净资产指标分数 = 净资产指标分值 ×（当前团队净资产 / 本场最佳净资产）（注：净资产少于或等于0得0分）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2、市场占有率 =（总送达客户货量 / 市场总需求量）× 100%</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市场占有率指标分数 = 市场占有率指标分值 ×（当前团队市场占有率 / 本场最佳市场占有率）</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3、库存周转率 = 总送达客户货量 / 平均库存</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库存周转率指标分数 = 库存周转率指标分值 ×（当前团队库存周转率 / 本场最佳库存周转率）</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4、准时交货率 =（准时交货量 / 中标总货量）× 100%</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准时交货率指标分数 = 准时交货率指标分值 ×（（准时交货率 - 60%）/（100% - 60%））（注：准时交货率少于或等于60%得0分）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5、断裂次数 = 当账户资金小于0且大于-500万，系统自动放贷次数</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现金流管理指标分数 = 现金流管理指标分值 - SUM（（365 - 系统自动放贷时已执行天数）× 0.03）（注：最低为0分）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排名分数计算规则如下：</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未参与排名分数计0分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破产排名分数计60分</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按指标分数由高到低排序第一名计100分，第二名计97分，每名次扣减3分，依此类推</w:t>
      </w:r>
      <w:r>
        <w:rPr>
          <w:rFonts w:hint="eastAsia" w:ascii="仿宋" w:hAnsi="仿宋" w:eastAsia="仿宋" w:cs="仿宋"/>
          <w:snapToGrid/>
          <w:color w:val="000000"/>
          <w:kern w:val="0"/>
          <w:sz w:val="32"/>
          <w:szCs w:val="32"/>
          <w:lang w:val="en-US" w:eastAsia="zh-CN" w:bidi="ar"/>
        </w:rPr>
        <w:br w:type="textWrapping"/>
      </w:r>
      <w:r>
        <w:rPr>
          <w:rFonts w:hint="eastAsia" w:ascii="仿宋" w:hAnsi="仿宋" w:eastAsia="仿宋" w:cs="仿宋"/>
          <w:snapToGrid/>
          <w:color w:val="000000"/>
          <w:kern w:val="0"/>
          <w:sz w:val="32"/>
          <w:szCs w:val="32"/>
          <w:lang w:val="en-US" w:eastAsia="zh-CN" w:bidi="ar"/>
        </w:rPr>
        <w:t>如果指标分数相同按并列计分，例如：指标分数95.36分，87.23分，87.23分，78.76分，则排名分数依次为100分，97分，97分，91分</w:t>
      </w:r>
    </w:p>
    <w:p>
      <w:pP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pStyle w:val="12"/>
        <w:bidi w:val="0"/>
        <w:rPr>
          <w:rFonts w:hint="eastAsia"/>
          <w:lang w:val="en-US" w:eastAsia="zh-CN"/>
        </w:rPr>
      </w:pPr>
      <w:bookmarkStart w:id="3" w:name="_Toc18880"/>
      <w:r>
        <w:rPr>
          <w:rFonts w:hint="eastAsia"/>
          <w:lang w:val="en-US" w:eastAsia="zh-CN"/>
        </w:rPr>
        <w:t>“供应链管理”赛项训练计划</w:t>
      </w:r>
      <w:bookmarkEnd w:id="3"/>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default"/>
          <w:sz w:val="30"/>
          <w:szCs w:val="30"/>
          <w:lang w:val="en-US" w:eastAsia="zh-CN"/>
        </w:rPr>
      </w:pPr>
      <w:r>
        <w:rPr>
          <w:rFonts w:hint="eastAsia"/>
          <w:sz w:val="30"/>
          <w:szCs w:val="30"/>
          <w:lang w:val="en-US" w:eastAsia="zh-CN"/>
        </w:rPr>
        <w:t>由于我院没有比赛软件，故比赛时间按照软件提供商免费开放时间来定。正式比赛前先在供应商官网上学习软件相关说明和视频。在供应商提供的软件试用时间里，学生可以根据自己的时间安排进行个人练习赛，老师每天至少组织1场练习赛，最后3天进行3场计分赛，以三次计分赛的总成绩为最后比赛成绩。</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eastAsiaTheme="minorEastAsia"/>
                <w:sz w:val="28"/>
                <w:szCs w:val="28"/>
                <w:vertAlign w:val="baseline"/>
                <w:lang w:val="en-US" w:eastAsia="zh-CN"/>
              </w:rPr>
            </w:pPr>
            <w:r>
              <w:rPr>
                <w:rFonts w:hint="eastAsia"/>
                <w:sz w:val="28"/>
                <w:szCs w:val="28"/>
                <w:vertAlign w:val="baseline"/>
                <w:lang w:val="en-US" w:eastAsia="zh-CN"/>
              </w:rPr>
              <w:t>时间安排</w:t>
            </w:r>
          </w:p>
        </w:tc>
        <w:tc>
          <w:tcPr>
            <w:tcW w:w="28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训练内容</w:t>
            </w:r>
          </w:p>
        </w:tc>
        <w:tc>
          <w:tcPr>
            <w:tcW w:w="28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eastAsiaTheme="minorEastAsia"/>
                <w:sz w:val="28"/>
                <w:szCs w:val="28"/>
                <w:vertAlign w:val="baseline"/>
                <w:lang w:val="en-US" w:eastAsia="zh-CN"/>
              </w:rPr>
            </w:pPr>
            <w:r>
              <w:rPr>
                <w:rFonts w:hint="eastAsia"/>
                <w:sz w:val="28"/>
                <w:szCs w:val="28"/>
                <w:vertAlign w:val="baseline"/>
                <w:lang w:val="en-US" w:eastAsia="zh-CN"/>
              </w:rPr>
              <w:t>4月1-7日</w:t>
            </w:r>
          </w:p>
        </w:tc>
        <w:tc>
          <w:tcPr>
            <w:tcW w:w="28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白天个人练习，晚自习团队练习赛</w:t>
            </w:r>
          </w:p>
        </w:tc>
        <w:tc>
          <w:tcPr>
            <w:tcW w:w="2841" w:type="dxa"/>
            <w:vMerge w:val="restart"/>
          </w:tcPr>
          <w:p>
            <w:pPr>
              <w:rPr>
                <w:rFonts w:hint="default" w:eastAsiaTheme="minorEastAsia"/>
                <w:sz w:val="28"/>
                <w:szCs w:val="28"/>
                <w:vertAlign w:val="baseline"/>
                <w:lang w:val="en-US" w:eastAsia="zh-CN"/>
              </w:rPr>
            </w:pPr>
            <w:r>
              <w:rPr>
                <w:rFonts w:hint="eastAsia"/>
                <w:sz w:val="28"/>
                <w:szCs w:val="28"/>
                <w:vertAlign w:val="baseline"/>
                <w:lang w:val="en-US" w:eastAsia="zh-CN"/>
              </w:rPr>
              <w:t>王新云，王风芹，吴晶晶，徐艳红，李润启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default" w:eastAsiaTheme="minorEastAsia"/>
                <w:sz w:val="28"/>
                <w:szCs w:val="28"/>
                <w:vertAlign w:val="baseline"/>
                <w:lang w:val="en-US" w:eastAsia="zh-CN"/>
              </w:rPr>
            </w:pPr>
            <w:r>
              <w:rPr>
                <w:rFonts w:hint="eastAsia"/>
                <w:sz w:val="28"/>
                <w:szCs w:val="28"/>
                <w:vertAlign w:val="baseline"/>
                <w:lang w:val="en-US" w:eastAsia="zh-CN"/>
              </w:rPr>
              <w:t>4月8-10日</w:t>
            </w:r>
          </w:p>
        </w:tc>
        <w:tc>
          <w:tcPr>
            <w:tcW w:w="2841" w:type="dxa"/>
          </w:tcPr>
          <w:p>
            <w:pPr>
              <w:rPr>
                <w:rFonts w:hint="default" w:eastAsiaTheme="minorEastAsia"/>
                <w:sz w:val="28"/>
                <w:szCs w:val="28"/>
                <w:vertAlign w:val="baseline"/>
                <w:lang w:val="en-US" w:eastAsia="zh-CN"/>
              </w:rPr>
            </w:pPr>
            <w:r>
              <w:rPr>
                <w:rFonts w:hint="eastAsia"/>
                <w:sz w:val="28"/>
                <w:szCs w:val="28"/>
                <w:vertAlign w:val="baseline"/>
                <w:lang w:val="en-US" w:eastAsia="zh-CN"/>
              </w:rPr>
              <w:t>白天个人练习，7-8节团队练习赛，晚上计分赛</w:t>
            </w:r>
          </w:p>
        </w:tc>
        <w:tc>
          <w:tcPr>
            <w:tcW w:w="2841" w:type="dxa"/>
            <w:vMerge w:val="continue"/>
          </w:tcPr>
          <w:p>
            <w:pPr>
              <w:rPr>
                <w:rFonts w:hint="eastAsia"/>
                <w:sz w:val="28"/>
                <w:szCs w:val="28"/>
                <w:vertAlign w:val="baseline"/>
              </w:rPr>
            </w:pPr>
          </w:p>
        </w:tc>
      </w:tr>
    </w:tbl>
    <w:p>
      <w:pPr>
        <w:rPr>
          <w:rFonts w:hint="eastAsia" w:eastAsiaTheme="minorEastAsia"/>
          <w:sz w:val="28"/>
          <w:szCs w:val="28"/>
          <w:lang w:eastAsia="zh-CN"/>
        </w:rPr>
      </w:pPr>
    </w:p>
    <w:p>
      <w:pPr>
        <w:rPr>
          <w:rFonts w:hint="eastAsia" w:ascii="仿宋" w:hAnsi="仿宋" w:eastAsia="仿宋" w:cs="仿宋"/>
          <w:color w:val="000000"/>
          <w:kern w:val="0"/>
          <w:sz w:val="32"/>
          <w:szCs w:val="32"/>
          <w:lang w:val="en-US" w:eastAsia="zh-CN" w:bidi="ar"/>
        </w:rPr>
      </w:pP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545E29"/>
    <w:multiLevelType w:val="singleLevel"/>
    <w:tmpl w:val="F9545E29"/>
    <w:lvl w:ilvl="0" w:tentative="0">
      <w:start w:val="1"/>
      <w:numFmt w:val="chineseCounting"/>
      <w:pStyle w:val="11"/>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ZTM5NmRiMDEyYTc4ZTc5MzYxZTBjNzBlNDVmOWYifQ=="/>
  </w:docVars>
  <w:rsids>
    <w:rsidRoot w:val="15A7057A"/>
    <w:rsid w:val="0131712A"/>
    <w:rsid w:val="013D705E"/>
    <w:rsid w:val="09D65D77"/>
    <w:rsid w:val="0C4C04D5"/>
    <w:rsid w:val="0CA31110"/>
    <w:rsid w:val="0FB513D3"/>
    <w:rsid w:val="15A7057A"/>
    <w:rsid w:val="2F724911"/>
    <w:rsid w:val="36DD72DD"/>
    <w:rsid w:val="3A9F0A63"/>
    <w:rsid w:val="40B40332"/>
    <w:rsid w:val="51A61CB4"/>
    <w:rsid w:val="694F4678"/>
    <w:rsid w:val="6B607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黑体"/>
      <w:b/>
      <w:sz w:val="32"/>
    </w:rPr>
  </w:style>
  <w:style w:type="paragraph" w:styleId="3">
    <w:name w:val="heading 3"/>
    <w:basedOn w:val="1"/>
    <w:next w:val="1"/>
    <w:semiHidden/>
    <w:unhideWhenUsed/>
    <w:qFormat/>
    <w:uiPriority w:val="0"/>
    <w:pPr>
      <w:keepNext/>
      <w:keepLines/>
      <w:spacing w:beforeLines="0" w:beforeAutospacing="0" w:afterLines="0" w:afterAutospacing="0" w:line="240" w:lineRule="auto"/>
      <w:jc w:val="left"/>
      <w:outlineLvl w:val="2"/>
    </w:pPr>
    <w:rPr>
      <w:rFonts w:asciiTheme="minorAscii" w:hAnsiTheme="minorAscii"/>
      <w:b/>
      <w:sz w:val="32"/>
    </w:rPr>
  </w:style>
  <w:style w:type="character" w:default="1" w:styleId="9">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一）"/>
    <w:basedOn w:val="1"/>
    <w:next w:val="1"/>
    <w:autoRedefine/>
    <w:qFormat/>
    <w:uiPriority w:val="0"/>
    <w:pPr>
      <w:adjustRightInd w:val="0"/>
      <w:snapToGrid w:val="0"/>
      <w:spacing w:before="50" w:beforeLines="50" w:line="440" w:lineRule="exact"/>
      <w:ind w:firstLine="560" w:firstLineChars="200"/>
      <w:jc w:val="left"/>
      <w:outlineLvl w:val="1"/>
    </w:pPr>
    <w:rPr>
      <w:rFonts w:hint="eastAsia" w:ascii="宋体" w:hAnsi="宋体" w:eastAsia="宋体" w:cs="宋体"/>
      <w:sz w:val="28"/>
      <w:szCs w:val="28"/>
    </w:rPr>
  </w:style>
  <w:style w:type="paragraph" w:customStyle="1" w:styleId="11">
    <w:name w:val="标题一"/>
    <w:basedOn w:val="1"/>
    <w:next w:val="1"/>
    <w:autoRedefine/>
    <w:qFormat/>
    <w:uiPriority w:val="0"/>
    <w:pPr>
      <w:widowControl/>
      <w:numPr>
        <w:ilvl w:val="0"/>
        <w:numId w:val="1"/>
      </w:numPr>
      <w:shd w:val="clear" w:color="auto" w:fill="FFFFFF"/>
      <w:adjustRightInd w:val="0"/>
      <w:snapToGrid w:val="0"/>
      <w:spacing w:line="360" w:lineRule="auto"/>
      <w:ind w:firstLine="560" w:firstLineChars="200"/>
      <w:jc w:val="left"/>
      <w:outlineLvl w:val="0"/>
    </w:pPr>
    <w:rPr>
      <w:rFonts w:hint="eastAsia" w:ascii="黑体" w:hAnsi="黑体" w:eastAsia="黑体" w:cs="黑体"/>
      <w:bCs/>
      <w:color w:val="191919"/>
      <w:kern w:val="0"/>
      <w:sz w:val="28"/>
      <w:szCs w:val="28"/>
      <w:shd w:val="clear" w:color="auto" w:fill="FFFFFF"/>
    </w:rPr>
  </w:style>
  <w:style w:type="paragraph" w:customStyle="1" w:styleId="12">
    <w:name w:val="蓝色标题"/>
    <w:basedOn w:val="1"/>
    <w:next w:val="1"/>
    <w:uiPriority w:val="0"/>
    <w:pPr>
      <w:widowControl/>
      <w:jc w:val="center"/>
      <w:outlineLvl w:val="0"/>
    </w:pPr>
    <w:rPr>
      <w:rFonts w:hint="eastAsia" w:ascii="仿宋" w:hAnsi="仿宋" w:eastAsia="仿宋" w:cs="仿宋"/>
      <w:b/>
      <w:bCs/>
      <w:color w:val="0000FF"/>
      <w:kern w:val="0"/>
      <w:sz w:val="36"/>
      <w:szCs w:val="36"/>
      <w:lang w:bidi="ar"/>
    </w:rPr>
  </w:style>
  <w:style w:type="paragraph" w:customStyle="1" w:styleId="13">
    <w:name w:val="WPSOffice手动目录 1"/>
    <w:autoRedefine/>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2024-04-22T14:16:00Z</dcterms:created>
  <dc:creator>星云</dc:creator>
  <cp:lastModifiedBy>文档存本地丢失不负责</cp:lastModifiedBy>
  <dcterms:modified xsi:type="dcterms:W3CDTF">2024-04-23T01:24:43Z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686539E04AF6424E95485F79FA70EAEF_13</vt:lpwstr>
  </property>
</Properties>
</file>