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adjustRightInd w:val="0"/>
        <w:snapToGrid w:val="0"/>
        <w:spacing w:beforeAutospacing="0" w:afterAutospacing="0" w:line="360" w:lineRule="auto"/>
        <w:jc w:val="both"/>
        <w:rPr>
          <w:rFonts w:ascii="Times New Roman" w:hAnsi="Times New Roman" w:eastAsia="黑体"/>
          <w:sz w:val="36"/>
          <w:szCs w:val="36"/>
          <w:highlight w:val="none"/>
          <w:shd w:val="clear" w:color="auto" w:fill="auto"/>
        </w:rPr>
      </w:pPr>
      <w:r>
        <w:rPr>
          <w:rFonts w:ascii="Times New Roman" w:hAnsi="Times New Roman" w:eastAsia="黑体"/>
          <w:sz w:val="36"/>
          <w:szCs w:val="36"/>
          <w:highlight w:val="none"/>
          <w:shd w:val="clear" w:color="auto" w:fill="auto"/>
        </w:rPr>
        <w:t>附件</w:t>
      </w:r>
      <w:r>
        <w:rPr>
          <w:rFonts w:hint="eastAsia" w:ascii="Times New Roman" w:hAnsi="Times New Roman" w:eastAsia="黑体"/>
          <w:sz w:val="36"/>
          <w:szCs w:val="36"/>
          <w:highlight w:val="none"/>
          <w:shd w:val="clear" w:color="auto" w:fill="auto"/>
        </w:rPr>
        <w:t>3</w:t>
      </w:r>
    </w:p>
    <w:p>
      <w:pPr>
        <w:shd w:val="clear"/>
        <w:spacing w:line="360" w:lineRule="auto"/>
        <w:jc w:val="center"/>
        <w:rPr>
          <w:rFonts w:eastAsia="方正大标宋简体"/>
          <w:sz w:val="52"/>
          <w:szCs w:val="48"/>
          <w:highlight w:val="none"/>
          <w:shd w:val="clear" w:color="auto" w:fill="auto"/>
        </w:rPr>
      </w:pPr>
    </w:p>
    <w:p>
      <w:pPr>
        <w:shd w:val="clear"/>
        <w:spacing w:line="360" w:lineRule="auto"/>
        <w:jc w:val="center"/>
        <w:rPr>
          <w:rFonts w:eastAsia="方正大标宋简体"/>
          <w:sz w:val="52"/>
          <w:szCs w:val="48"/>
          <w:highlight w:val="none"/>
          <w:shd w:val="clear" w:color="auto" w:fill="auto"/>
        </w:rPr>
      </w:pPr>
      <w:r>
        <w:rPr>
          <w:rFonts w:hint="eastAsia" w:eastAsia="方正大标宋简体"/>
          <w:sz w:val="52"/>
          <w:szCs w:val="48"/>
          <w:highlight w:val="none"/>
          <w:shd w:val="clear" w:color="auto" w:fill="auto"/>
        </w:rPr>
        <w:t>池州职业技术学院</w:t>
      </w:r>
    </w:p>
    <w:p>
      <w:pPr>
        <w:shd w:val="clear"/>
        <w:spacing w:line="360" w:lineRule="auto"/>
        <w:jc w:val="center"/>
        <w:rPr>
          <w:rFonts w:eastAsia="方正大标宋简体"/>
          <w:sz w:val="52"/>
          <w:szCs w:val="48"/>
          <w:highlight w:val="none"/>
          <w:shd w:val="clear" w:color="auto" w:fill="auto"/>
        </w:rPr>
      </w:pPr>
      <w:r>
        <w:rPr>
          <w:rFonts w:hint="eastAsia" w:eastAsia="方正大标宋简体"/>
          <w:sz w:val="52"/>
          <w:szCs w:val="48"/>
          <w:highlight w:val="none"/>
          <w:shd w:val="clear" w:color="auto" w:fill="auto"/>
        </w:rPr>
        <w:t>2025级人才培养方案</w:t>
      </w:r>
    </w:p>
    <w:p>
      <w:pPr>
        <w:shd w:val="clear"/>
        <w:spacing w:line="360" w:lineRule="auto"/>
        <w:jc w:val="center"/>
        <w:rPr>
          <w:rFonts w:eastAsia="方正大标宋简体"/>
          <w:sz w:val="52"/>
          <w:szCs w:val="48"/>
          <w:highlight w:val="none"/>
          <w:shd w:val="clear" w:color="auto" w:fill="auto"/>
        </w:rPr>
      </w:pPr>
    </w:p>
    <w:p>
      <w:pPr>
        <w:shd w:val="clear"/>
        <w:spacing w:line="360" w:lineRule="auto"/>
        <w:jc w:val="center"/>
        <w:rPr>
          <w:rFonts w:eastAsia="方正大标宋简体"/>
          <w:sz w:val="52"/>
          <w:szCs w:val="48"/>
          <w:highlight w:val="none"/>
          <w:shd w:val="clear" w:color="auto" w:fill="auto"/>
        </w:rPr>
      </w:pPr>
    </w:p>
    <w:p>
      <w:pPr>
        <w:widowControl/>
        <w:shd w:val="clear"/>
        <w:spacing w:line="800" w:lineRule="exact"/>
        <w:ind w:firstLine="1918" w:firstLineChars="597"/>
        <w:jc w:val="left"/>
        <w:rPr>
          <w:rFonts w:ascii="宋体" w:hAnsi="宋体" w:eastAsia="宋体" w:cs="Times New Roman"/>
          <w:b/>
          <w:kern w:val="0"/>
          <w:sz w:val="32"/>
          <w:szCs w:val="20"/>
          <w:highlight w:val="none"/>
          <w:shd w:val="clear" w:color="auto" w:fill="auto"/>
        </w:rPr>
      </w:pPr>
      <w:r>
        <w:rPr>
          <w:rFonts w:hint="eastAsia" w:ascii="宋体" w:hAnsi="宋体" w:eastAsia="宋体" w:cs="Times New Roman"/>
          <w:b/>
          <w:kern w:val="0"/>
          <w:sz w:val="32"/>
          <w:szCs w:val="20"/>
          <w:highlight w:val="none"/>
          <w:shd w:val="clear" w:color="auto" w:fill="auto"/>
        </w:rPr>
        <w:t>专业名称：</w:t>
      </w:r>
      <w:r>
        <w:rPr>
          <w:rFonts w:hint="eastAsia" w:ascii="宋体" w:hAnsi="宋体" w:eastAsia="宋体"/>
          <w:b/>
          <w:kern w:val="0"/>
          <w:highlight w:val="none"/>
          <w:u w:val="single"/>
          <w:shd w:val="clear" w:color="auto" w:fill="auto"/>
        </w:rPr>
        <w:t xml:space="preserve"> </w:t>
      </w:r>
      <w:r>
        <w:rPr>
          <w:rFonts w:hint="eastAsia" w:ascii="宋体" w:hAnsi="宋体" w:eastAsia="宋体"/>
          <w:b/>
          <w:bCs/>
          <w:kern w:val="0"/>
          <w:highlight w:val="none"/>
          <w:u w:val="single"/>
          <w:shd w:val="clear" w:color="auto" w:fill="auto"/>
        </w:rPr>
        <w:t xml:space="preserve"> </w:t>
      </w:r>
      <w:r>
        <w:rPr>
          <w:rFonts w:hint="eastAsia" w:ascii="宋体" w:hAnsi="宋体" w:eastAsia="宋体"/>
          <w:b/>
          <w:bCs/>
          <w:kern w:val="0"/>
          <w:highlight w:val="none"/>
          <w:u w:val="single"/>
          <w:shd w:val="clear" w:color="auto" w:fill="auto"/>
          <w:lang w:val="en-US" w:eastAsia="zh-CN"/>
        </w:rPr>
        <w:t xml:space="preserve">    </w:t>
      </w:r>
      <w:r>
        <w:rPr>
          <w:rFonts w:hint="eastAsia" w:ascii="宋体" w:hAnsi="宋体" w:eastAsia="宋体" w:cs="Times New Roman"/>
          <w:b/>
          <w:bCs/>
          <w:kern w:val="0"/>
          <w:sz w:val="32"/>
          <w:szCs w:val="20"/>
          <w:highlight w:val="none"/>
          <w:u w:val="single"/>
          <w:shd w:val="clear" w:color="auto" w:fill="auto"/>
        </w:rPr>
        <w:t xml:space="preserve">电子商务  </w:t>
      </w:r>
      <w:r>
        <w:rPr>
          <w:rFonts w:hint="eastAsia" w:ascii="宋体" w:hAnsi="宋体" w:eastAsia="宋体" w:cs="Times New Roman"/>
          <w:b/>
          <w:bCs/>
          <w:kern w:val="0"/>
          <w:sz w:val="32"/>
          <w:szCs w:val="20"/>
          <w:highlight w:val="none"/>
          <w:u w:val="single"/>
          <w:shd w:val="clear" w:color="auto" w:fill="auto"/>
          <w:lang w:val="en-US" w:eastAsia="zh-CN"/>
        </w:rPr>
        <w:t xml:space="preserve"> </w:t>
      </w:r>
      <w:r>
        <w:rPr>
          <w:rFonts w:hint="eastAsia" w:ascii="宋体" w:hAnsi="宋体" w:eastAsia="宋体" w:cs="Times New Roman"/>
          <w:b/>
          <w:bCs/>
          <w:kern w:val="0"/>
          <w:sz w:val="32"/>
          <w:szCs w:val="20"/>
          <w:highlight w:val="none"/>
          <w:u w:val="single"/>
          <w:shd w:val="clear" w:color="auto" w:fill="auto"/>
        </w:rPr>
        <w:t xml:space="preserve">  </w:t>
      </w:r>
      <w:r>
        <w:rPr>
          <w:rFonts w:hint="eastAsia" w:ascii="宋体" w:hAnsi="宋体" w:eastAsia="宋体" w:cs="Times New Roman"/>
          <w:b/>
          <w:kern w:val="0"/>
          <w:sz w:val="32"/>
          <w:szCs w:val="20"/>
          <w:highlight w:val="none"/>
          <w:shd w:val="clear" w:color="auto" w:fill="auto"/>
        </w:rPr>
        <w:t xml:space="preserve">   </w:t>
      </w:r>
    </w:p>
    <w:p>
      <w:pPr>
        <w:widowControl/>
        <w:shd w:val="clear"/>
        <w:spacing w:line="800" w:lineRule="exact"/>
        <w:ind w:firstLine="1918" w:firstLineChars="597"/>
        <w:jc w:val="left"/>
        <w:rPr>
          <w:rFonts w:ascii="宋体" w:hAnsi="宋体" w:eastAsia="宋体" w:cs="Times New Roman"/>
          <w:b/>
          <w:kern w:val="0"/>
          <w:sz w:val="32"/>
          <w:szCs w:val="20"/>
          <w:highlight w:val="none"/>
          <w:shd w:val="clear" w:color="auto" w:fill="auto"/>
        </w:rPr>
      </w:pPr>
      <w:r>
        <w:rPr>
          <w:rFonts w:hint="eastAsia" w:ascii="宋体" w:hAnsi="宋体" w:eastAsia="宋体" w:cs="Times New Roman"/>
          <w:b/>
          <w:kern w:val="0"/>
          <w:sz w:val="32"/>
          <w:szCs w:val="20"/>
          <w:highlight w:val="none"/>
          <w:shd w:val="clear" w:color="auto" w:fill="auto"/>
        </w:rPr>
        <w:t>专业代码：</w:t>
      </w:r>
      <w:r>
        <w:rPr>
          <w:rFonts w:hint="eastAsia" w:ascii="宋体" w:hAnsi="宋体" w:eastAsia="宋体" w:cs="Times New Roman"/>
          <w:b/>
          <w:bCs/>
          <w:kern w:val="0"/>
          <w:sz w:val="32"/>
          <w:szCs w:val="20"/>
          <w:highlight w:val="none"/>
          <w:u w:val="single"/>
          <w:shd w:val="clear" w:color="auto" w:fill="auto"/>
        </w:rPr>
        <w:t xml:space="preserve">    530701       </w:t>
      </w:r>
      <w:r>
        <w:rPr>
          <w:rFonts w:hint="eastAsia" w:ascii="宋体" w:hAnsi="宋体" w:eastAsia="宋体" w:cs="Times New Roman"/>
          <w:b/>
          <w:kern w:val="0"/>
          <w:sz w:val="32"/>
          <w:szCs w:val="20"/>
          <w:highlight w:val="none"/>
          <w:shd w:val="clear" w:color="auto" w:fill="auto"/>
        </w:rPr>
        <w:t xml:space="preserve">   </w:t>
      </w:r>
    </w:p>
    <w:p>
      <w:pPr>
        <w:widowControl/>
        <w:shd w:val="clear"/>
        <w:spacing w:line="800" w:lineRule="exact"/>
        <w:ind w:firstLine="1918" w:firstLineChars="597"/>
        <w:jc w:val="left"/>
        <w:rPr>
          <w:rFonts w:ascii="宋体" w:hAnsi="宋体" w:eastAsia="宋体" w:cs="Times New Roman"/>
          <w:b/>
          <w:kern w:val="0"/>
          <w:sz w:val="32"/>
          <w:szCs w:val="20"/>
          <w:highlight w:val="none"/>
          <w:shd w:val="clear" w:color="auto" w:fill="auto"/>
        </w:rPr>
      </w:pPr>
      <w:r>
        <w:rPr>
          <w:rFonts w:hint="eastAsia" w:ascii="宋体" w:hAnsi="宋体" w:eastAsia="宋体" w:cs="Times New Roman"/>
          <w:b/>
          <w:kern w:val="0"/>
          <w:sz w:val="32"/>
          <w:szCs w:val="20"/>
          <w:highlight w:val="none"/>
          <w:shd w:val="clear" w:color="auto" w:fill="auto"/>
        </w:rPr>
        <w:t>制订系部：</w:t>
      </w:r>
      <w:r>
        <w:rPr>
          <w:rFonts w:hint="eastAsia" w:ascii="宋体" w:hAnsi="宋体" w:eastAsia="宋体" w:cs="Times New Roman"/>
          <w:b/>
          <w:kern w:val="0"/>
          <w:sz w:val="32"/>
          <w:szCs w:val="20"/>
          <w:highlight w:val="none"/>
          <w:u w:val="single"/>
          <w:shd w:val="clear" w:color="auto" w:fill="auto"/>
          <w:lang w:val="en-US" w:eastAsia="zh-CN"/>
        </w:rPr>
        <w:t xml:space="preserve"> </w:t>
      </w:r>
      <w:r>
        <w:rPr>
          <w:rFonts w:hint="eastAsia" w:ascii="宋体" w:hAnsi="宋体" w:eastAsia="宋体"/>
          <w:b/>
          <w:kern w:val="0"/>
          <w:highlight w:val="none"/>
          <w:u w:val="single"/>
          <w:shd w:val="clear" w:color="auto" w:fill="auto"/>
        </w:rPr>
        <w:t xml:space="preserve"> </w:t>
      </w:r>
      <w:r>
        <w:rPr>
          <w:rFonts w:hint="eastAsia" w:ascii="宋体" w:hAnsi="宋体" w:eastAsia="宋体"/>
          <w:b/>
          <w:bCs/>
          <w:kern w:val="0"/>
          <w:highlight w:val="none"/>
          <w:u w:val="single"/>
          <w:shd w:val="clear" w:color="auto" w:fill="auto"/>
        </w:rPr>
        <w:t xml:space="preserve"> </w:t>
      </w:r>
      <w:r>
        <w:rPr>
          <w:rFonts w:hint="eastAsia" w:ascii="宋体" w:hAnsi="宋体" w:eastAsia="宋体" w:cs="Times New Roman"/>
          <w:b/>
          <w:bCs/>
          <w:kern w:val="0"/>
          <w:sz w:val="32"/>
          <w:szCs w:val="20"/>
          <w:highlight w:val="none"/>
          <w:u w:val="single"/>
          <w:shd w:val="clear" w:color="auto" w:fill="auto"/>
        </w:rPr>
        <w:t>经济与管理系</w:t>
      </w:r>
      <w:r>
        <w:rPr>
          <w:rFonts w:hint="eastAsia" w:ascii="宋体" w:hAnsi="宋体" w:eastAsia="宋体"/>
          <w:b/>
          <w:bCs/>
          <w:kern w:val="0"/>
          <w:highlight w:val="none"/>
          <w:u w:val="single"/>
          <w:shd w:val="clear" w:color="auto" w:fill="auto"/>
        </w:rPr>
        <w:t xml:space="preserve">   </w:t>
      </w:r>
      <w:r>
        <w:rPr>
          <w:rFonts w:hint="eastAsia" w:ascii="宋体" w:hAnsi="宋体" w:eastAsia="宋体" w:cs="Times New Roman"/>
          <w:b/>
          <w:bCs/>
          <w:kern w:val="0"/>
          <w:sz w:val="32"/>
          <w:szCs w:val="20"/>
          <w:highlight w:val="none"/>
          <w:u w:val="single"/>
          <w:shd w:val="clear" w:color="auto" w:fill="auto"/>
        </w:rPr>
        <w:t xml:space="preserve"> </w:t>
      </w:r>
      <w:r>
        <w:rPr>
          <w:rFonts w:hint="eastAsia" w:ascii="宋体" w:hAnsi="宋体" w:eastAsia="宋体" w:cs="Times New Roman"/>
          <w:b/>
          <w:kern w:val="0"/>
          <w:sz w:val="32"/>
          <w:szCs w:val="20"/>
          <w:highlight w:val="none"/>
          <w:shd w:val="clear" w:color="auto" w:fill="auto"/>
        </w:rPr>
        <w:t xml:space="preserve">  </w:t>
      </w:r>
    </w:p>
    <w:p>
      <w:pPr>
        <w:widowControl/>
        <w:shd w:val="clear"/>
        <w:spacing w:line="800" w:lineRule="exact"/>
        <w:ind w:firstLine="1918" w:firstLineChars="597"/>
        <w:jc w:val="left"/>
        <w:rPr>
          <w:rFonts w:ascii="宋体" w:hAnsi="宋体" w:eastAsia="宋体" w:cs="Times New Roman"/>
          <w:b/>
          <w:kern w:val="0"/>
          <w:sz w:val="32"/>
          <w:szCs w:val="20"/>
          <w:highlight w:val="none"/>
          <w:shd w:val="clear" w:color="auto" w:fill="auto"/>
        </w:rPr>
      </w:pPr>
      <w:r>
        <w:rPr>
          <w:rFonts w:hint="eastAsia" w:ascii="宋体" w:hAnsi="宋体" w:eastAsia="宋体" w:cs="Times New Roman"/>
          <w:b/>
          <w:kern w:val="0"/>
          <w:sz w:val="32"/>
          <w:szCs w:val="20"/>
          <w:highlight w:val="none"/>
          <w:shd w:val="clear" w:color="auto" w:fill="auto"/>
        </w:rPr>
        <w:t>制订时间：</w:t>
      </w:r>
      <w:r>
        <w:rPr>
          <w:rFonts w:hint="eastAsia" w:ascii="宋体" w:hAnsi="宋体" w:eastAsia="宋体"/>
          <w:b/>
          <w:kern w:val="0"/>
          <w:highlight w:val="none"/>
          <w:u w:val="single"/>
          <w:shd w:val="clear" w:color="auto" w:fill="auto"/>
        </w:rPr>
        <w:t xml:space="preserve"> </w:t>
      </w:r>
      <w:r>
        <w:rPr>
          <w:rFonts w:hint="eastAsia" w:ascii="宋体" w:hAnsi="宋体" w:eastAsia="宋体"/>
          <w:b/>
          <w:bCs/>
          <w:kern w:val="0"/>
          <w:highlight w:val="none"/>
          <w:u w:val="single"/>
          <w:shd w:val="clear" w:color="auto" w:fill="auto"/>
        </w:rPr>
        <w:t xml:space="preserve">   </w:t>
      </w:r>
      <w:r>
        <w:rPr>
          <w:rFonts w:hint="eastAsia" w:ascii="宋体" w:hAnsi="宋体" w:eastAsia="宋体" w:cs="Times New Roman"/>
          <w:b/>
          <w:bCs/>
          <w:kern w:val="0"/>
          <w:sz w:val="32"/>
          <w:szCs w:val="20"/>
          <w:highlight w:val="none"/>
          <w:u w:val="single"/>
          <w:shd w:val="clear" w:color="auto" w:fill="auto"/>
        </w:rPr>
        <w:t xml:space="preserve"> 2025年08月  </w:t>
      </w:r>
      <w:r>
        <w:rPr>
          <w:rFonts w:hint="eastAsia" w:ascii="宋体" w:hAnsi="宋体" w:eastAsia="宋体" w:cs="Times New Roman"/>
          <w:b/>
          <w:kern w:val="0"/>
          <w:sz w:val="32"/>
          <w:szCs w:val="20"/>
          <w:highlight w:val="none"/>
          <w:shd w:val="clear" w:color="auto" w:fill="auto"/>
        </w:rPr>
        <w:t xml:space="preserve">     </w:t>
      </w:r>
    </w:p>
    <w:p>
      <w:pPr>
        <w:shd w:val="clear"/>
        <w:spacing w:line="360" w:lineRule="auto"/>
        <w:jc w:val="center"/>
        <w:rPr>
          <w:rFonts w:eastAsia="方正大标宋简体"/>
          <w:sz w:val="52"/>
          <w:szCs w:val="48"/>
          <w:highlight w:val="none"/>
          <w:shd w:val="clear" w:color="auto" w:fill="auto"/>
        </w:rPr>
      </w:pPr>
    </w:p>
    <w:p>
      <w:pPr>
        <w:shd w:val="clear"/>
        <w:spacing w:line="360" w:lineRule="auto"/>
        <w:jc w:val="center"/>
        <w:rPr>
          <w:rFonts w:eastAsia="方正大标宋简体"/>
          <w:sz w:val="48"/>
          <w:szCs w:val="48"/>
          <w:highlight w:val="none"/>
          <w:shd w:val="clear" w:color="auto" w:fill="auto"/>
        </w:rPr>
      </w:pPr>
    </w:p>
    <w:p>
      <w:pPr>
        <w:shd w:val="clear"/>
        <w:spacing w:line="360" w:lineRule="auto"/>
        <w:jc w:val="center"/>
        <w:rPr>
          <w:rFonts w:eastAsia="方正大标宋简体"/>
          <w:sz w:val="28"/>
          <w:szCs w:val="28"/>
          <w:highlight w:val="none"/>
          <w:shd w:val="clear" w:color="auto" w:fill="auto"/>
        </w:rPr>
      </w:pPr>
    </w:p>
    <w:p>
      <w:pPr>
        <w:shd w:val="clear"/>
        <w:spacing w:line="360" w:lineRule="auto"/>
        <w:jc w:val="center"/>
        <w:rPr>
          <w:rFonts w:eastAsia="方正大标宋简体"/>
          <w:sz w:val="28"/>
          <w:szCs w:val="28"/>
          <w:highlight w:val="none"/>
          <w:shd w:val="clear" w:color="auto" w:fill="auto"/>
        </w:rPr>
      </w:pPr>
    </w:p>
    <w:p>
      <w:pPr>
        <w:shd w:val="clear"/>
        <w:spacing w:line="360" w:lineRule="auto"/>
        <w:jc w:val="center"/>
        <w:rPr>
          <w:rFonts w:eastAsia="方正大标宋简体"/>
          <w:sz w:val="28"/>
          <w:szCs w:val="28"/>
          <w:highlight w:val="none"/>
          <w:shd w:val="clear" w:color="auto" w:fill="auto"/>
        </w:rPr>
      </w:pPr>
    </w:p>
    <w:p>
      <w:pPr>
        <w:shd w:val="clear"/>
        <w:spacing w:line="360" w:lineRule="auto"/>
        <w:jc w:val="center"/>
        <w:rPr>
          <w:rFonts w:eastAsia="方正大标宋简体"/>
          <w:sz w:val="28"/>
          <w:szCs w:val="28"/>
          <w:highlight w:val="none"/>
          <w:shd w:val="clear" w:color="auto" w:fill="auto"/>
        </w:rPr>
      </w:pPr>
    </w:p>
    <w:p>
      <w:pPr>
        <w:widowControl/>
        <w:shd w:val="clear"/>
        <w:jc w:val="center"/>
        <w:rPr>
          <w:rFonts w:ascii="宋体" w:hAnsi="宋体" w:eastAsia="宋体" w:cs="宋体"/>
          <w:b/>
          <w:bCs/>
          <w:sz w:val="32"/>
          <w:szCs w:val="20"/>
          <w:highlight w:val="none"/>
          <w:shd w:val="clear" w:color="auto" w:fill="auto"/>
        </w:rPr>
      </w:pPr>
      <w:r>
        <w:rPr>
          <w:rFonts w:hint="eastAsia" w:ascii="宋体" w:hAnsi="宋体" w:eastAsia="宋体" w:cs="宋体"/>
          <w:b/>
          <w:bCs/>
          <w:sz w:val="32"/>
          <w:szCs w:val="20"/>
          <w:highlight w:val="none"/>
          <w:shd w:val="clear" w:color="auto" w:fill="auto"/>
        </w:rPr>
        <w:t>教务处 编制</w:t>
      </w:r>
    </w:p>
    <w:p>
      <w:pPr>
        <w:shd w:val="clear"/>
        <w:spacing w:line="360" w:lineRule="auto"/>
        <w:jc w:val="center"/>
        <w:rPr>
          <w:rFonts w:eastAsia="方正魏碑简体"/>
          <w:sz w:val="28"/>
          <w:szCs w:val="28"/>
          <w:highlight w:val="none"/>
          <w:shd w:val="clear" w:color="auto" w:fill="auto"/>
        </w:rPr>
        <w:sectPr>
          <w:headerReference r:id="rId4" w:type="first"/>
          <w:footerReference r:id="rId6" w:type="first"/>
          <w:headerReference r:id="rId3" w:type="default"/>
          <w:footerReference r:id="rId5" w:type="default"/>
          <w:pgSz w:w="11906" w:h="16838"/>
          <w:pgMar w:top="1247" w:right="1418" w:bottom="1247" w:left="1701" w:header="851" w:footer="992" w:gutter="0"/>
          <w:cols w:space="720" w:num="1"/>
          <w:titlePg/>
          <w:docGrid w:type="lines" w:linePitch="312" w:charSpace="0"/>
        </w:sectPr>
      </w:pPr>
    </w:p>
    <w:p>
      <w:pPr>
        <w:pStyle w:val="4"/>
        <w:widowControl/>
        <w:shd w:val="clear" w:color="auto"/>
        <w:adjustRightInd w:val="0"/>
        <w:snapToGrid w:val="0"/>
        <w:spacing w:beforeAutospacing="0" w:afterAutospacing="0" w:line="360" w:lineRule="auto"/>
        <w:jc w:val="center"/>
        <w:rPr>
          <w:rFonts w:ascii="Times New Roman" w:hAnsi="Times New Roman" w:eastAsia="黑体"/>
          <w:sz w:val="36"/>
          <w:szCs w:val="36"/>
          <w:highlight w:val="none"/>
          <w:shd w:val="clear" w:color="auto" w:fill="auto"/>
        </w:rPr>
      </w:pPr>
      <w:r>
        <w:rPr>
          <w:rFonts w:hint="eastAsia" w:ascii="仿宋" w:hAnsi="仿宋" w:eastAsia="仿宋" w:cs="仿宋"/>
          <w:b/>
          <w:bCs/>
          <w:sz w:val="32"/>
          <w:szCs w:val="32"/>
          <w:highlight w:val="none"/>
          <w:shd w:val="clear" w:color="auto" w:fill="auto"/>
        </w:rPr>
        <w:t>2025级电子商务专业人才培养方案</w:t>
      </w:r>
    </w:p>
    <w:p>
      <w:pPr>
        <w:pStyle w:val="4"/>
        <w:widowControl/>
        <w:shd w:val="clear" w:color="auto"/>
        <w:adjustRightInd w:val="0"/>
        <w:snapToGrid w:val="0"/>
        <w:spacing w:beforeAutospacing="0" w:afterAutospacing="0" w:line="360" w:lineRule="auto"/>
        <w:ind w:firstLine="643" w:firstLineChars="200"/>
        <w:jc w:val="center"/>
        <w:rPr>
          <w:rStyle w:val="8"/>
          <w:rFonts w:ascii="仿宋" w:hAnsi="仿宋" w:eastAsia="仿宋" w:cs="仿宋"/>
          <w:bCs/>
          <w:color w:val="191919"/>
          <w:sz w:val="32"/>
          <w:szCs w:val="32"/>
          <w:highlight w:val="none"/>
          <w:shd w:val="clear" w:color="auto" w:fill="auto"/>
        </w:rPr>
      </w:pPr>
    </w:p>
    <w:p>
      <w:pPr>
        <w:pStyle w:val="4"/>
        <w:widowControl/>
        <w:shd w:val="clear" w:color="auto"/>
        <w:adjustRightInd w:val="0"/>
        <w:snapToGrid w:val="0"/>
        <w:spacing w:beforeAutospacing="0" w:afterAutospacing="0" w:line="360" w:lineRule="auto"/>
        <w:ind w:firstLine="560" w:firstLineChars="200"/>
        <w:rPr>
          <w:rStyle w:val="8"/>
          <w:rFonts w:ascii="黑体" w:hAnsi="黑体" w:eastAsia="黑体" w:cs="黑体"/>
          <w:b w:val="0"/>
          <w:bCs/>
          <w:color w:val="FF0000"/>
          <w:sz w:val="28"/>
          <w:szCs w:val="28"/>
          <w:highlight w:val="none"/>
          <w:shd w:val="clear" w:color="auto" w:fill="auto"/>
        </w:rPr>
      </w:pPr>
      <w:r>
        <w:rPr>
          <w:rStyle w:val="8"/>
          <w:rFonts w:hint="eastAsia" w:ascii="黑体" w:hAnsi="黑体" w:eastAsia="黑体" w:cs="黑体"/>
          <w:b w:val="0"/>
          <w:bCs/>
          <w:color w:val="191919"/>
          <w:sz w:val="28"/>
          <w:szCs w:val="28"/>
          <w:highlight w:val="none"/>
          <w:shd w:val="clear" w:color="auto" w:fill="auto"/>
        </w:rPr>
        <w:t>一、专业名称及代码</w:t>
      </w:r>
    </w:p>
    <w:p>
      <w:pPr>
        <w:pStyle w:val="4"/>
        <w:widowControl/>
        <w:shd w:val="clear" w:color="auto"/>
        <w:adjustRightInd w:val="0"/>
        <w:snapToGrid w:val="0"/>
        <w:spacing w:beforeAutospacing="0" w:afterAutospacing="0" w:line="360" w:lineRule="auto"/>
        <w:ind w:firstLine="560" w:firstLineChars="200"/>
        <w:rPr>
          <w:rFonts w:hint="eastAsia" w:ascii="仿宋" w:hAnsi="仿宋" w:eastAsia="仿宋" w:cs="仿宋"/>
          <w:bCs/>
          <w:sz w:val="28"/>
          <w:szCs w:val="28"/>
          <w:highlight w:val="none"/>
          <w:shd w:val="clear" w:color="auto" w:fill="auto"/>
        </w:rPr>
      </w:pPr>
      <w:r>
        <w:rPr>
          <w:rFonts w:hint="eastAsia" w:ascii="仿宋" w:hAnsi="仿宋" w:eastAsia="仿宋" w:cs="仿宋"/>
          <w:bCs/>
          <w:sz w:val="28"/>
          <w:szCs w:val="28"/>
          <w:highlight w:val="none"/>
          <w:shd w:val="clear" w:color="auto" w:fill="auto"/>
        </w:rPr>
        <w:t>电子商务530701</w:t>
      </w:r>
    </w:p>
    <w:p>
      <w:pPr>
        <w:pStyle w:val="4"/>
        <w:widowControl/>
        <w:shd w:val="clear" w:color="auto"/>
        <w:adjustRightInd w:val="0"/>
        <w:snapToGrid w:val="0"/>
        <w:spacing w:beforeAutospacing="0" w:afterAutospacing="0" w:line="360" w:lineRule="auto"/>
        <w:ind w:firstLine="560" w:firstLineChars="200"/>
        <w:rPr>
          <w:rStyle w:val="8"/>
          <w:rFonts w:ascii="黑体" w:hAnsi="黑体" w:eastAsia="黑体" w:cs="黑体"/>
          <w:b w:val="0"/>
          <w:bCs/>
          <w:color w:val="191919"/>
          <w:sz w:val="28"/>
          <w:szCs w:val="28"/>
          <w:highlight w:val="none"/>
          <w:shd w:val="clear" w:color="auto" w:fill="auto"/>
        </w:rPr>
      </w:pPr>
      <w:r>
        <w:rPr>
          <w:rStyle w:val="8"/>
          <w:rFonts w:hint="eastAsia" w:ascii="黑体" w:hAnsi="黑体" w:eastAsia="黑体" w:cs="黑体"/>
          <w:b w:val="0"/>
          <w:bCs/>
          <w:color w:val="191919"/>
          <w:sz w:val="28"/>
          <w:szCs w:val="28"/>
          <w:highlight w:val="none"/>
          <w:shd w:val="clear" w:color="auto" w:fill="auto"/>
        </w:rPr>
        <w:t>二、</w:t>
      </w:r>
      <w:r>
        <w:rPr>
          <w:rStyle w:val="8"/>
          <w:rFonts w:ascii="黑体" w:hAnsi="黑体" w:eastAsia="黑体" w:cs="黑体"/>
          <w:b w:val="0"/>
          <w:bCs/>
          <w:color w:val="191919"/>
          <w:sz w:val="28"/>
          <w:szCs w:val="28"/>
          <w:highlight w:val="none"/>
          <w:shd w:val="clear" w:color="auto" w:fill="auto"/>
        </w:rPr>
        <w:t>入学</w:t>
      </w:r>
      <w:r>
        <w:rPr>
          <w:rStyle w:val="8"/>
          <w:rFonts w:hint="eastAsia" w:ascii="黑体" w:hAnsi="黑体" w:eastAsia="黑体" w:cs="黑体"/>
          <w:b w:val="0"/>
          <w:bCs/>
          <w:color w:val="191919"/>
          <w:sz w:val="28"/>
          <w:szCs w:val="28"/>
          <w:highlight w:val="none"/>
          <w:shd w:val="clear" w:color="auto" w:fill="auto"/>
        </w:rPr>
        <w:t>基本</w:t>
      </w:r>
      <w:r>
        <w:rPr>
          <w:rStyle w:val="8"/>
          <w:rFonts w:ascii="黑体" w:hAnsi="黑体" w:eastAsia="黑体" w:cs="黑体"/>
          <w:b w:val="0"/>
          <w:bCs/>
          <w:color w:val="191919"/>
          <w:sz w:val="28"/>
          <w:szCs w:val="28"/>
          <w:highlight w:val="none"/>
          <w:shd w:val="clear" w:color="auto" w:fill="auto"/>
        </w:rPr>
        <w:t>要求</w:t>
      </w:r>
    </w:p>
    <w:p>
      <w:pPr>
        <w:pStyle w:val="4"/>
        <w:widowControl/>
        <w:shd w:val="clear" w:color="auto"/>
        <w:adjustRightInd w:val="0"/>
        <w:snapToGrid w:val="0"/>
        <w:spacing w:beforeAutospacing="0" w:afterAutospacing="0" w:line="360" w:lineRule="auto"/>
        <w:ind w:firstLine="560" w:firstLineChars="200"/>
        <w:rPr>
          <w:rFonts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中等职业学校毕业、普通高级中学毕业或具备同等学力。</w:t>
      </w:r>
    </w:p>
    <w:p>
      <w:pPr>
        <w:pStyle w:val="4"/>
        <w:widowControl/>
        <w:shd w:val="clear" w:color="auto"/>
        <w:adjustRightInd w:val="0"/>
        <w:snapToGrid w:val="0"/>
        <w:spacing w:beforeAutospacing="0" w:afterAutospacing="0" w:line="360" w:lineRule="auto"/>
        <w:ind w:firstLine="560" w:firstLineChars="200"/>
        <w:rPr>
          <w:rStyle w:val="8"/>
          <w:rFonts w:ascii="黑体" w:hAnsi="黑体" w:eastAsia="黑体" w:cs="黑体"/>
          <w:b w:val="0"/>
          <w:bCs/>
          <w:color w:val="191919"/>
          <w:sz w:val="28"/>
          <w:szCs w:val="28"/>
          <w:highlight w:val="none"/>
          <w:shd w:val="clear" w:color="auto" w:fill="auto"/>
        </w:rPr>
      </w:pPr>
      <w:r>
        <w:rPr>
          <w:rStyle w:val="8"/>
          <w:rFonts w:ascii="黑体" w:hAnsi="黑体" w:eastAsia="黑体" w:cs="黑体"/>
          <w:b w:val="0"/>
          <w:bCs/>
          <w:color w:val="191919"/>
          <w:sz w:val="28"/>
          <w:szCs w:val="28"/>
          <w:highlight w:val="none"/>
          <w:shd w:val="clear" w:color="auto" w:fill="auto"/>
        </w:rPr>
        <w:t>三、</w:t>
      </w:r>
      <w:r>
        <w:rPr>
          <w:rStyle w:val="8"/>
          <w:rFonts w:hint="eastAsia" w:ascii="黑体" w:hAnsi="黑体" w:eastAsia="黑体" w:cs="黑体"/>
          <w:b w:val="0"/>
          <w:bCs/>
          <w:color w:val="191919"/>
          <w:sz w:val="28"/>
          <w:szCs w:val="28"/>
          <w:highlight w:val="none"/>
          <w:shd w:val="clear" w:color="auto" w:fill="auto"/>
        </w:rPr>
        <w:t>基本</w:t>
      </w:r>
      <w:r>
        <w:rPr>
          <w:rStyle w:val="8"/>
          <w:rFonts w:ascii="黑体" w:hAnsi="黑体" w:eastAsia="黑体" w:cs="黑体"/>
          <w:b w:val="0"/>
          <w:bCs/>
          <w:color w:val="191919"/>
          <w:sz w:val="28"/>
          <w:szCs w:val="28"/>
          <w:highlight w:val="none"/>
          <w:shd w:val="clear" w:color="auto" w:fill="auto"/>
        </w:rPr>
        <w:t>修业年限</w:t>
      </w:r>
    </w:p>
    <w:p>
      <w:pPr>
        <w:pStyle w:val="4"/>
        <w:widowControl/>
        <w:shd w:val="clear" w:color="auto"/>
        <w:adjustRightInd w:val="0"/>
        <w:snapToGrid w:val="0"/>
        <w:spacing w:beforeAutospacing="0" w:afterAutospacing="0" w:line="360" w:lineRule="auto"/>
        <w:ind w:firstLine="560" w:firstLineChars="200"/>
        <w:rPr>
          <w:rFonts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学制三年，可以根据学生学习需求合理、弹性安排学习时间。</w:t>
      </w:r>
    </w:p>
    <w:p>
      <w:pPr>
        <w:pStyle w:val="4"/>
        <w:widowControl/>
        <w:shd w:val="clear" w:color="auto"/>
        <w:adjustRightInd w:val="0"/>
        <w:snapToGrid w:val="0"/>
        <w:spacing w:beforeAutospacing="0" w:afterAutospacing="0" w:line="360" w:lineRule="auto"/>
        <w:ind w:firstLine="560" w:firstLineChars="200"/>
        <w:rPr>
          <w:rStyle w:val="8"/>
          <w:rFonts w:ascii="黑体" w:hAnsi="黑体" w:eastAsia="黑体" w:cs="黑体"/>
          <w:b w:val="0"/>
          <w:bCs/>
          <w:color w:val="191919"/>
          <w:sz w:val="28"/>
          <w:szCs w:val="28"/>
          <w:highlight w:val="none"/>
          <w:shd w:val="clear" w:color="auto" w:fill="auto"/>
        </w:rPr>
      </w:pPr>
      <w:r>
        <w:rPr>
          <w:rStyle w:val="8"/>
          <w:rFonts w:ascii="黑体" w:hAnsi="黑体" w:eastAsia="黑体" w:cs="黑体"/>
          <w:b w:val="0"/>
          <w:bCs/>
          <w:color w:val="191919"/>
          <w:sz w:val="28"/>
          <w:szCs w:val="28"/>
          <w:highlight w:val="none"/>
          <w:shd w:val="clear" w:color="auto" w:fill="auto"/>
        </w:rPr>
        <w:t>四、职业面向</w:t>
      </w:r>
    </w:p>
    <w:tbl>
      <w:tblPr>
        <w:tblStyle w:val="5"/>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71"/>
        <w:gridCol w:w="1212"/>
        <w:gridCol w:w="1888"/>
        <w:gridCol w:w="1588"/>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101" w:type="dxa"/>
            <w:vAlign w:val="center"/>
          </w:tcPr>
          <w:p>
            <w:pPr>
              <w:shd w:val="clear"/>
              <w:adjustRightInd w:val="0"/>
              <w:snapToGrid w:val="0"/>
              <w:spacing w:line="360" w:lineRule="auto"/>
              <w:jc w:val="center"/>
              <w:rPr>
                <w:rFonts w:ascii="Times New Roman" w:hAnsi="Times New Roman" w:eastAsia="仿宋" w:cs="Times New Roman"/>
                <w:color w:val="191919"/>
                <w:kern w:val="0"/>
                <w:sz w:val="22"/>
                <w:szCs w:val="22"/>
                <w:highlight w:val="none"/>
                <w:shd w:val="clear" w:color="auto" w:fill="auto"/>
              </w:rPr>
            </w:pPr>
            <w:r>
              <w:rPr>
                <w:rFonts w:hint="eastAsia" w:ascii="Times New Roman" w:hAnsi="Times New Roman" w:eastAsia="仿宋" w:cs="Times New Roman"/>
                <w:color w:val="191919"/>
                <w:kern w:val="0"/>
                <w:sz w:val="22"/>
                <w:szCs w:val="22"/>
                <w:highlight w:val="none"/>
                <w:shd w:val="clear" w:color="auto" w:fill="auto"/>
              </w:rPr>
              <w:t>所属专业大类（代码）</w:t>
            </w:r>
          </w:p>
        </w:tc>
        <w:tc>
          <w:tcPr>
            <w:tcW w:w="1071" w:type="dxa"/>
            <w:vAlign w:val="center"/>
          </w:tcPr>
          <w:p>
            <w:pPr>
              <w:shd w:val="clear"/>
              <w:adjustRightInd w:val="0"/>
              <w:snapToGrid w:val="0"/>
              <w:spacing w:line="360" w:lineRule="auto"/>
              <w:jc w:val="center"/>
              <w:rPr>
                <w:rFonts w:ascii="Times New Roman" w:hAnsi="Times New Roman" w:eastAsia="仿宋" w:cs="Times New Roman"/>
                <w:color w:val="191919"/>
                <w:kern w:val="0"/>
                <w:sz w:val="22"/>
                <w:szCs w:val="22"/>
                <w:highlight w:val="none"/>
                <w:shd w:val="clear" w:color="auto" w:fill="auto"/>
              </w:rPr>
            </w:pPr>
            <w:r>
              <w:rPr>
                <w:rFonts w:hint="eastAsia" w:ascii="Times New Roman" w:hAnsi="Times New Roman" w:eastAsia="仿宋" w:cs="Times New Roman"/>
                <w:color w:val="191919"/>
                <w:kern w:val="0"/>
                <w:sz w:val="22"/>
                <w:szCs w:val="22"/>
                <w:highlight w:val="none"/>
                <w:shd w:val="clear" w:color="auto" w:fill="auto"/>
              </w:rPr>
              <w:t>所属专业类（代码）</w:t>
            </w:r>
          </w:p>
        </w:tc>
        <w:tc>
          <w:tcPr>
            <w:tcW w:w="1212" w:type="dxa"/>
            <w:vAlign w:val="center"/>
          </w:tcPr>
          <w:p>
            <w:pPr>
              <w:shd w:val="clear"/>
              <w:adjustRightInd w:val="0"/>
              <w:snapToGrid w:val="0"/>
              <w:spacing w:line="360" w:lineRule="auto"/>
              <w:jc w:val="center"/>
              <w:rPr>
                <w:rFonts w:ascii="Times New Roman" w:hAnsi="Times New Roman" w:eastAsia="仿宋" w:cs="Times New Roman"/>
                <w:color w:val="191919"/>
                <w:kern w:val="0"/>
                <w:sz w:val="22"/>
                <w:szCs w:val="22"/>
                <w:highlight w:val="none"/>
                <w:shd w:val="clear" w:color="auto" w:fill="auto"/>
              </w:rPr>
            </w:pPr>
            <w:r>
              <w:rPr>
                <w:rFonts w:hint="eastAsia" w:ascii="Times New Roman" w:hAnsi="Times New Roman" w:eastAsia="仿宋" w:cs="Times New Roman"/>
                <w:color w:val="191919"/>
                <w:kern w:val="0"/>
                <w:sz w:val="22"/>
                <w:szCs w:val="22"/>
                <w:highlight w:val="none"/>
                <w:shd w:val="clear" w:color="auto" w:fill="auto"/>
              </w:rPr>
              <w:t>对应行业（代码）</w:t>
            </w:r>
          </w:p>
        </w:tc>
        <w:tc>
          <w:tcPr>
            <w:tcW w:w="1888" w:type="dxa"/>
            <w:vAlign w:val="center"/>
          </w:tcPr>
          <w:p>
            <w:pPr>
              <w:shd w:val="clear"/>
              <w:adjustRightInd w:val="0"/>
              <w:snapToGrid w:val="0"/>
              <w:spacing w:line="360" w:lineRule="auto"/>
              <w:jc w:val="center"/>
              <w:rPr>
                <w:rFonts w:ascii="Times New Roman" w:hAnsi="Times New Roman" w:eastAsia="仿宋" w:cs="Times New Roman"/>
                <w:color w:val="191919"/>
                <w:kern w:val="0"/>
                <w:sz w:val="22"/>
                <w:szCs w:val="22"/>
                <w:highlight w:val="none"/>
                <w:shd w:val="clear" w:color="auto" w:fill="auto"/>
              </w:rPr>
            </w:pPr>
            <w:r>
              <w:rPr>
                <w:rFonts w:hint="eastAsia" w:ascii="Times New Roman" w:hAnsi="Times New Roman" w:eastAsia="仿宋" w:cs="Times New Roman"/>
                <w:color w:val="191919"/>
                <w:kern w:val="0"/>
                <w:sz w:val="22"/>
                <w:szCs w:val="22"/>
                <w:highlight w:val="none"/>
                <w:shd w:val="clear" w:color="auto" w:fill="auto"/>
              </w:rPr>
              <w:t>主要职业类别（代码）</w:t>
            </w:r>
          </w:p>
        </w:tc>
        <w:tc>
          <w:tcPr>
            <w:tcW w:w="1588" w:type="dxa"/>
            <w:vAlign w:val="center"/>
          </w:tcPr>
          <w:p>
            <w:pPr>
              <w:shd w:val="clear"/>
              <w:adjustRightInd w:val="0"/>
              <w:snapToGrid w:val="0"/>
              <w:spacing w:line="360" w:lineRule="auto"/>
              <w:jc w:val="center"/>
              <w:rPr>
                <w:rFonts w:ascii="Times New Roman" w:hAnsi="Times New Roman" w:eastAsia="仿宋" w:cs="Times New Roman"/>
                <w:color w:val="191919"/>
                <w:kern w:val="0"/>
                <w:sz w:val="22"/>
                <w:szCs w:val="22"/>
                <w:highlight w:val="none"/>
                <w:shd w:val="clear" w:color="auto" w:fill="auto"/>
              </w:rPr>
            </w:pPr>
            <w:r>
              <w:rPr>
                <w:rFonts w:hint="eastAsia" w:ascii="Times New Roman" w:hAnsi="Times New Roman" w:eastAsia="仿宋" w:cs="Times New Roman"/>
                <w:color w:val="191919"/>
                <w:kern w:val="0"/>
                <w:sz w:val="22"/>
                <w:szCs w:val="22"/>
                <w:highlight w:val="none"/>
                <w:shd w:val="clear" w:color="auto" w:fill="auto"/>
              </w:rPr>
              <w:t>主要岗位类别</w:t>
            </w:r>
          </w:p>
          <w:p>
            <w:pPr>
              <w:shd w:val="clear"/>
              <w:adjustRightInd w:val="0"/>
              <w:snapToGrid w:val="0"/>
              <w:spacing w:line="360" w:lineRule="auto"/>
              <w:jc w:val="center"/>
              <w:rPr>
                <w:rFonts w:ascii="Times New Roman" w:hAnsi="Times New Roman" w:eastAsia="仿宋" w:cs="Times New Roman"/>
                <w:color w:val="191919"/>
                <w:kern w:val="0"/>
                <w:sz w:val="22"/>
                <w:szCs w:val="22"/>
                <w:highlight w:val="none"/>
                <w:shd w:val="clear" w:color="auto" w:fill="auto"/>
              </w:rPr>
            </w:pPr>
            <w:r>
              <w:rPr>
                <w:rFonts w:hint="eastAsia" w:ascii="Times New Roman" w:hAnsi="Times New Roman" w:eastAsia="仿宋" w:cs="Times New Roman"/>
                <w:color w:val="191919"/>
                <w:kern w:val="0"/>
                <w:sz w:val="22"/>
                <w:szCs w:val="22"/>
                <w:highlight w:val="none"/>
                <w:shd w:val="clear" w:color="auto" w:fill="auto"/>
              </w:rPr>
              <w:t>（或技术领域）</w:t>
            </w:r>
          </w:p>
        </w:tc>
        <w:tc>
          <w:tcPr>
            <w:tcW w:w="1567" w:type="dxa"/>
            <w:vAlign w:val="center"/>
          </w:tcPr>
          <w:p>
            <w:pPr>
              <w:shd w:val="clear"/>
              <w:adjustRightInd w:val="0"/>
              <w:snapToGrid w:val="0"/>
              <w:spacing w:line="360" w:lineRule="auto"/>
              <w:jc w:val="center"/>
              <w:rPr>
                <w:rFonts w:ascii="Times New Roman" w:hAnsi="Times New Roman" w:eastAsia="仿宋" w:cs="Times New Roman"/>
                <w:color w:val="191919"/>
                <w:kern w:val="0"/>
                <w:sz w:val="22"/>
                <w:szCs w:val="22"/>
                <w:highlight w:val="none"/>
                <w:shd w:val="clear" w:color="auto" w:fill="auto"/>
              </w:rPr>
            </w:pPr>
            <w:r>
              <w:rPr>
                <w:rFonts w:hint="eastAsia" w:ascii="Times New Roman" w:hAnsi="Times New Roman" w:eastAsia="仿宋" w:cs="Times New Roman"/>
                <w:color w:val="191919"/>
                <w:kern w:val="0"/>
                <w:sz w:val="22"/>
                <w:szCs w:val="22"/>
                <w:highlight w:val="none"/>
                <w:shd w:val="clear" w:color="auto" w:fill="auto"/>
              </w:rPr>
              <w:t>职业类证书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trPr>
        <w:tc>
          <w:tcPr>
            <w:tcW w:w="1101" w:type="dxa"/>
            <w:vAlign w:val="center"/>
          </w:tcPr>
          <w:p>
            <w:pPr>
              <w:pStyle w:val="4"/>
              <w:shd w:val="clear"/>
              <w:spacing w:line="240" w:lineRule="auto"/>
              <w:jc w:val="center"/>
              <w:rPr>
                <w:rFonts w:ascii="仿宋" w:hAnsi="仿宋" w:eastAsia="仿宋" w:cs="仿宋"/>
                <w:sz w:val="22"/>
                <w:szCs w:val="22"/>
                <w:highlight w:val="none"/>
                <w:shd w:val="clear" w:color="auto" w:fill="auto"/>
              </w:rPr>
            </w:pPr>
            <w:r>
              <w:rPr>
                <w:rFonts w:hint="eastAsia" w:ascii="仿宋" w:hAnsi="仿宋" w:eastAsia="仿宋" w:cs="仿宋"/>
                <w:color w:val="auto"/>
                <w:sz w:val="22"/>
                <w:szCs w:val="22"/>
                <w:highlight w:val="none"/>
              </w:rPr>
              <w:t>财经商贸大类（53）</w:t>
            </w:r>
          </w:p>
        </w:tc>
        <w:tc>
          <w:tcPr>
            <w:tcW w:w="1071" w:type="dxa"/>
            <w:vAlign w:val="center"/>
          </w:tcPr>
          <w:p>
            <w:pPr>
              <w:pStyle w:val="4"/>
              <w:shd w:val="clear"/>
              <w:spacing w:line="240" w:lineRule="auto"/>
              <w:jc w:val="center"/>
              <w:rPr>
                <w:rFonts w:ascii="仿宋" w:hAnsi="仿宋" w:eastAsia="仿宋" w:cs="仿宋"/>
                <w:sz w:val="22"/>
                <w:szCs w:val="22"/>
                <w:highlight w:val="none"/>
                <w:shd w:val="clear" w:color="auto" w:fill="auto"/>
              </w:rPr>
            </w:pPr>
            <w:r>
              <w:rPr>
                <w:rFonts w:hint="eastAsia" w:ascii="仿宋" w:hAnsi="仿宋" w:eastAsia="仿宋" w:cs="仿宋"/>
                <w:color w:val="auto"/>
                <w:sz w:val="22"/>
                <w:szCs w:val="22"/>
                <w:highlight w:val="none"/>
              </w:rPr>
              <w:t>电子商务类（530</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w:t>
            </w:r>
          </w:p>
        </w:tc>
        <w:tc>
          <w:tcPr>
            <w:tcW w:w="1212" w:type="dxa"/>
            <w:vAlign w:val="center"/>
          </w:tcPr>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互联网相关</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服务（64）、</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left"/>
              <w:textAlignment w:val="auto"/>
              <w:rPr>
                <w:rFonts w:ascii="仿宋" w:hAnsi="仿宋" w:eastAsia="仿宋" w:cs="仿宋"/>
                <w:sz w:val="22"/>
                <w:szCs w:val="22"/>
                <w:highlight w:val="none"/>
                <w:shd w:val="clear" w:color="auto" w:fill="auto"/>
              </w:rPr>
            </w:pPr>
            <w:r>
              <w:rPr>
                <w:rFonts w:hint="eastAsia" w:ascii="仿宋" w:hAnsi="仿宋" w:eastAsia="仿宋" w:cs="仿宋"/>
                <w:color w:val="auto"/>
                <w:sz w:val="22"/>
                <w:szCs w:val="22"/>
                <w:highlight w:val="none"/>
              </w:rPr>
              <w:t>批发业（51）、零售业（52）</w:t>
            </w:r>
          </w:p>
        </w:tc>
        <w:tc>
          <w:tcPr>
            <w:tcW w:w="1888" w:type="dxa"/>
            <w:vAlign w:val="center"/>
          </w:tcPr>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left"/>
              <w:textAlignment w:val="auto"/>
              <w:rPr>
                <w:rFonts w:ascii="宋体" w:hAnsi="宋体" w:eastAsia="宋体" w:cs="宋体"/>
                <w:kern w:val="0"/>
                <w:sz w:val="22"/>
                <w:szCs w:val="22"/>
                <w:highlight w:val="none"/>
                <w:shd w:val="clear" w:color="auto" w:fill="auto"/>
              </w:rPr>
            </w:pPr>
            <w:r>
              <w:rPr>
                <w:rFonts w:hint="eastAsia" w:ascii="仿宋" w:hAnsi="仿宋" w:eastAsia="仿宋" w:cs="仿宋"/>
                <w:color w:val="auto"/>
                <w:sz w:val="22"/>
                <w:szCs w:val="22"/>
                <w:highlight w:val="none"/>
              </w:rPr>
              <w:t>电子商务师S（4-01-06-01）、互联网营销师S（4-01-06-02）、营销员（4-01-02-01）、客户服务管理（4-07-02-03）、</w:t>
            </w:r>
          </w:p>
        </w:tc>
        <w:tc>
          <w:tcPr>
            <w:tcW w:w="1588" w:type="dxa"/>
            <w:vAlign w:val="center"/>
          </w:tcPr>
          <w:p>
            <w:pPr>
              <w:pStyle w:val="4"/>
              <w:shd w:val="clear"/>
              <w:spacing w:line="240" w:lineRule="auto"/>
              <w:jc w:val="center"/>
              <w:rPr>
                <w:rFonts w:ascii="仿宋" w:hAnsi="仿宋" w:eastAsia="仿宋" w:cs="仿宋"/>
                <w:color w:val="000000"/>
                <w:kern w:val="0"/>
                <w:sz w:val="22"/>
                <w:szCs w:val="22"/>
                <w:highlight w:val="none"/>
                <w:shd w:val="clear" w:color="auto" w:fill="auto"/>
                <w:lang w:bidi="ar"/>
              </w:rPr>
            </w:pPr>
            <w:r>
              <w:rPr>
                <w:rFonts w:hint="eastAsia" w:ascii="仿宋" w:hAnsi="仿宋" w:eastAsia="仿宋" w:cs="仿宋"/>
                <w:color w:val="auto"/>
                <w:sz w:val="22"/>
                <w:szCs w:val="22"/>
                <w:highlight w:val="none"/>
              </w:rPr>
              <w:t>营销推广、运营</w:t>
            </w:r>
            <w:r>
              <w:rPr>
                <w:rFonts w:hint="eastAsia" w:ascii="仿宋" w:hAnsi="仿宋" w:eastAsia="仿宋" w:cs="仿宋"/>
                <w:color w:val="auto"/>
                <w:sz w:val="22"/>
                <w:szCs w:val="22"/>
                <w:highlight w:val="none"/>
                <w:lang w:eastAsia="zh-CN"/>
              </w:rPr>
              <w:t>管理</w:t>
            </w:r>
            <w:r>
              <w:rPr>
                <w:rFonts w:hint="eastAsia" w:ascii="仿宋" w:hAnsi="仿宋" w:eastAsia="仿宋" w:cs="仿宋"/>
                <w:color w:val="auto"/>
                <w:sz w:val="22"/>
                <w:szCs w:val="22"/>
                <w:highlight w:val="none"/>
              </w:rPr>
              <w:t>、网络客服、</w:t>
            </w:r>
            <w:r>
              <w:rPr>
                <w:rFonts w:hint="eastAsia" w:ascii="仿宋" w:hAnsi="仿宋" w:eastAsia="仿宋" w:cs="仿宋"/>
                <w:color w:val="auto"/>
                <w:sz w:val="22"/>
                <w:szCs w:val="22"/>
                <w:highlight w:val="none"/>
                <w:lang w:eastAsia="zh-CN"/>
              </w:rPr>
              <w:t>视觉设计</w:t>
            </w:r>
          </w:p>
        </w:tc>
        <w:tc>
          <w:tcPr>
            <w:tcW w:w="1567" w:type="dxa"/>
            <w:vAlign w:val="center"/>
          </w:tcPr>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电子商务师（三级）</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center"/>
              <w:textAlignment w:val="auto"/>
              <w:rPr>
                <w:rFonts w:ascii="仿宋" w:hAnsi="仿宋" w:eastAsia="仿宋" w:cs="仿宋"/>
                <w:color w:val="000000"/>
                <w:kern w:val="0"/>
                <w:sz w:val="22"/>
                <w:szCs w:val="22"/>
                <w:highlight w:val="none"/>
                <w:shd w:val="clear" w:color="auto" w:fill="auto"/>
                <w:lang w:bidi="ar"/>
              </w:rPr>
            </w:pPr>
            <w:r>
              <w:rPr>
                <w:rFonts w:hint="eastAsia" w:ascii="仿宋" w:hAnsi="仿宋" w:eastAsia="仿宋" w:cs="仿宋"/>
                <w:color w:val="auto"/>
                <w:sz w:val="22"/>
                <w:szCs w:val="22"/>
                <w:highlight w:val="none"/>
              </w:rPr>
              <w:t>1+x网店运营与推广</w:t>
            </w:r>
            <w:r>
              <w:rPr>
                <w:rFonts w:hint="eastAsia" w:ascii="仿宋" w:hAnsi="仿宋" w:eastAsia="仿宋" w:cs="仿宋"/>
                <w:color w:val="auto"/>
                <w:sz w:val="22"/>
                <w:szCs w:val="22"/>
                <w:highlight w:val="none"/>
                <w:lang w:eastAsia="zh-CN"/>
              </w:rPr>
              <w:t>（中级）</w:t>
            </w:r>
          </w:p>
        </w:tc>
      </w:tr>
    </w:tbl>
    <w:p>
      <w:pPr>
        <w:pStyle w:val="4"/>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8"/>
          <w:rFonts w:ascii="Times New Roman" w:hAnsi="Times New Roman" w:eastAsia="楷体"/>
          <w:b w:val="0"/>
          <w:bCs/>
          <w:color w:val="FF0000"/>
          <w:sz w:val="28"/>
          <w:szCs w:val="28"/>
          <w:highlight w:val="none"/>
          <w:shd w:val="clear" w:color="auto" w:fill="auto"/>
        </w:rPr>
      </w:pPr>
      <w:r>
        <w:rPr>
          <w:rStyle w:val="8"/>
          <w:rFonts w:ascii="黑体" w:hAnsi="黑体" w:eastAsia="黑体" w:cs="黑体"/>
          <w:b w:val="0"/>
          <w:bCs/>
          <w:color w:val="191919"/>
          <w:sz w:val="28"/>
          <w:szCs w:val="28"/>
          <w:highlight w:val="none"/>
          <w:shd w:val="clear" w:color="auto" w:fill="auto"/>
        </w:rPr>
        <w:t>五、培养目标</w:t>
      </w:r>
    </w:p>
    <w:p>
      <w:pPr>
        <w:pStyle w:val="4"/>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适应社会发展和电子商务产业需求，懂得电子商务基本理论，掌握电子商务运营、网站管理技能，熟悉网店运营、网络营销、客户服务技能，能够从事数据化运营、网店运营、社群运营、营销活动策划与执行、销售方案执行与优化、客户服务管理、视觉设计的高技能人才。</w:t>
      </w:r>
    </w:p>
    <w:p>
      <w:pPr>
        <w:pStyle w:val="4"/>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8"/>
          <w:rFonts w:ascii="黑体" w:hAnsi="黑体" w:eastAsia="黑体" w:cs="黑体"/>
          <w:b w:val="0"/>
          <w:bCs/>
          <w:color w:val="191919"/>
          <w:sz w:val="28"/>
          <w:szCs w:val="28"/>
          <w:highlight w:val="none"/>
          <w:shd w:val="clear" w:color="auto" w:fill="auto"/>
        </w:rPr>
      </w:pPr>
      <w:r>
        <w:rPr>
          <w:rStyle w:val="8"/>
          <w:rFonts w:hint="eastAsia" w:ascii="黑体" w:hAnsi="黑体" w:eastAsia="黑体" w:cs="黑体"/>
          <w:b w:val="0"/>
          <w:bCs/>
          <w:color w:val="191919"/>
          <w:sz w:val="28"/>
          <w:szCs w:val="28"/>
          <w:highlight w:val="none"/>
          <w:shd w:val="clear" w:color="auto" w:fill="auto"/>
        </w:rPr>
        <w:t>六</w:t>
      </w:r>
      <w:r>
        <w:rPr>
          <w:rStyle w:val="8"/>
          <w:rFonts w:ascii="黑体" w:hAnsi="黑体" w:eastAsia="黑体" w:cs="黑体"/>
          <w:b w:val="0"/>
          <w:bCs/>
          <w:color w:val="191919"/>
          <w:sz w:val="28"/>
          <w:szCs w:val="28"/>
          <w:highlight w:val="none"/>
          <w:shd w:val="clear" w:color="auto" w:fill="auto"/>
        </w:rPr>
        <w:t>、培养</w:t>
      </w:r>
      <w:r>
        <w:rPr>
          <w:rStyle w:val="8"/>
          <w:rFonts w:hint="eastAsia" w:ascii="黑体" w:hAnsi="黑体" w:eastAsia="黑体" w:cs="黑体"/>
          <w:b w:val="0"/>
          <w:bCs/>
          <w:color w:val="191919"/>
          <w:sz w:val="28"/>
          <w:szCs w:val="28"/>
          <w:highlight w:val="none"/>
          <w:shd w:val="clear" w:color="auto" w:fill="auto"/>
        </w:rPr>
        <w:t>规格</w:t>
      </w:r>
    </w:p>
    <w:p>
      <w:pPr>
        <w:keepNext w:val="0"/>
        <w:keepLines w:val="0"/>
        <w:pageBreakBefore w:val="0"/>
        <w:widowControl/>
        <w:shd w:val="clear"/>
        <w:kinsoku/>
        <w:wordWrap/>
        <w:overflowPunct/>
        <w:topLinePunct w:val="0"/>
        <w:autoSpaceDE/>
        <w:autoSpaceDN/>
        <w:bidi w:val="0"/>
        <w:snapToGrid w:val="0"/>
        <w:spacing w:line="360" w:lineRule="auto"/>
        <w:ind w:firstLine="560" w:firstLineChars="200"/>
        <w:jc w:val="left"/>
        <w:textAlignment w:val="auto"/>
        <w:rPr>
          <w:rFonts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 xml:space="preserve">本专业学生应在系统学习本专业知识并完成有关实习实训基础上，全面提升知识、能力、素质，掌握并实际运用岗位需要的专业核心技术技能，实现德智体美劳全面发展，总体上须达到以下要求： </w:t>
      </w:r>
    </w:p>
    <w:p>
      <w:pPr>
        <w:keepNext w:val="0"/>
        <w:keepLines w:val="0"/>
        <w:pageBreakBefore w:val="0"/>
        <w:widowControl/>
        <w:shd w:val="clear"/>
        <w:kinsoku/>
        <w:wordWrap/>
        <w:overflowPunct/>
        <w:topLinePunct w:val="0"/>
        <w:autoSpaceDE/>
        <w:autoSpaceDN/>
        <w:bidi w:val="0"/>
        <w:snapToGrid w:val="0"/>
        <w:spacing w:line="360" w:lineRule="auto"/>
        <w:ind w:firstLine="560" w:firstLineChars="200"/>
        <w:jc w:val="left"/>
        <w:textAlignment w:val="auto"/>
        <w:rPr>
          <w:rFonts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w:t>
      </w:r>
      <w:r>
        <w:rPr>
          <w:rFonts w:ascii="仿宋" w:hAnsi="仿宋" w:eastAsia="仿宋" w:cs="仿宋"/>
          <w:kern w:val="0"/>
          <w:sz w:val="28"/>
          <w:szCs w:val="28"/>
          <w:highlight w:val="none"/>
          <w:shd w:val="clear" w:color="auto" w:fill="auto"/>
        </w:rPr>
        <w:t>1</w:t>
      </w:r>
      <w:r>
        <w:rPr>
          <w:rFonts w:hint="eastAsia" w:ascii="仿宋" w:hAnsi="仿宋" w:eastAsia="仿宋" w:cs="仿宋"/>
          <w:kern w:val="0"/>
          <w:sz w:val="28"/>
          <w:szCs w:val="28"/>
          <w:highlight w:val="none"/>
          <w:shd w:val="clear" w:color="auto" w:fill="auto"/>
        </w:rPr>
        <w:t xml:space="preserve">）坚定拥护中国共产党领导和中国特色社会主义制度，以习近平新时代中国特色社会主义思想为指导，践行社会主义核心价值观，具有坚定的理想信念、深厚的爱国情感和中华民族自豪感； </w:t>
      </w:r>
    </w:p>
    <w:p>
      <w:pPr>
        <w:keepNext w:val="0"/>
        <w:keepLines w:val="0"/>
        <w:pageBreakBefore w:val="0"/>
        <w:widowControl/>
        <w:shd w:val="clear"/>
        <w:kinsoku/>
        <w:wordWrap/>
        <w:overflowPunct/>
        <w:topLinePunct w:val="0"/>
        <w:autoSpaceDE/>
        <w:autoSpaceDN/>
        <w:bidi w:val="0"/>
        <w:snapToGrid w:val="0"/>
        <w:spacing w:line="360" w:lineRule="auto"/>
        <w:ind w:firstLine="560" w:firstLineChars="200"/>
        <w:jc w:val="left"/>
        <w:textAlignment w:val="auto"/>
        <w:rPr>
          <w:rFonts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w:t>
      </w:r>
      <w:r>
        <w:rPr>
          <w:rFonts w:ascii="仿宋" w:hAnsi="仿宋" w:eastAsia="仿宋" w:cs="仿宋"/>
          <w:kern w:val="0"/>
          <w:sz w:val="28"/>
          <w:szCs w:val="28"/>
          <w:highlight w:val="none"/>
          <w:shd w:val="clear" w:color="auto" w:fill="auto"/>
        </w:rPr>
        <w:t>2</w:t>
      </w:r>
      <w:r>
        <w:rPr>
          <w:rFonts w:hint="eastAsia" w:ascii="仿宋" w:hAnsi="仿宋" w:eastAsia="仿宋" w:cs="仿宋"/>
          <w:kern w:val="0"/>
          <w:sz w:val="28"/>
          <w:szCs w:val="28"/>
          <w:highlight w:val="none"/>
          <w:shd w:val="clear" w:color="auto" w:fill="auto"/>
        </w:rPr>
        <w:t>）</w:t>
      </w:r>
      <w:r>
        <w:rPr>
          <w:rFonts w:hint="eastAsia" w:ascii="仿宋" w:hAnsi="仿宋" w:eastAsia="仿宋" w:cs="仿宋"/>
          <w:kern w:val="0"/>
          <w:sz w:val="28"/>
          <w:szCs w:val="28"/>
          <w:highlight w:val="none"/>
          <w:shd w:val="clear" w:color="auto" w:fill="auto"/>
          <w:lang w:val="en-US" w:eastAsia="zh-CN"/>
        </w:rPr>
        <w:t>崇尚宪法、遵法守纪、崇德向善、诚实守信、尊重生命、热爱劳动，履行道德准则和行为规范，具有社会责任感、</w:t>
      </w:r>
      <w:r>
        <w:rPr>
          <w:rFonts w:hint="eastAsia" w:ascii="仿宋" w:hAnsi="仿宋" w:eastAsia="仿宋" w:cs="仿宋"/>
          <w:kern w:val="0"/>
          <w:sz w:val="28"/>
          <w:szCs w:val="28"/>
          <w:highlight w:val="none"/>
          <w:shd w:val="clear" w:color="auto" w:fill="auto"/>
        </w:rPr>
        <w:t>担当精神</w:t>
      </w:r>
      <w:r>
        <w:rPr>
          <w:rFonts w:hint="eastAsia" w:ascii="仿宋" w:hAnsi="仿宋" w:eastAsia="仿宋" w:cs="仿宋"/>
          <w:kern w:val="0"/>
          <w:sz w:val="28"/>
          <w:szCs w:val="28"/>
          <w:highlight w:val="none"/>
          <w:shd w:val="clear" w:color="auto" w:fill="auto"/>
          <w:lang w:val="en-US" w:eastAsia="zh-CN"/>
        </w:rPr>
        <w:t>和社会参与意识。</w:t>
      </w:r>
      <w:r>
        <w:rPr>
          <w:rFonts w:hint="eastAsia" w:ascii="仿宋" w:hAnsi="仿宋" w:eastAsia="仿宋" w:cs="仿宋"/>
          <w:kern w:val="0"/>
          <w:sz w:val="28"/>
          <w:szCs w:val="28"/>
          <w:highlight w:val="none"/>
          <w:shd w:val="clear" w:color="auto" w:fill="auto"/>
        </w:rPr>
        <w:t>掌握与本专业对应职业活动相关的国家法律、行业规定，具有质量意识、环保意识、安全意识、信息素养、工匠精神、创新思维</w:t>
      </w:r>
      <w:r>
        <w:rPr>
          <w:rFonts w:hint="eastAsia" w:ascii="仿宋" w:hAnsi="仿宋" w:eastAsia="仿宋" w:cs="仿宋"/>
          <w:kern w:val="0"/>
          <w:sz w:val="28"/>
          <w:szCs w:val="28"/>
          <w:highlight w:val="none"/>
          <w:shd w:val="clear" w:color="auto" w:fill="auto"/>
          <w:lang w:eastAsia="zh-CN"/>
        </w:rPr>
        <w:t>，</w:t>
      </w:r>
      <w:r>
        <w:rPr>
          <w:rFonts w:hint="eastAsia" w:ascii="仿宋" w:hAnsi="仿宋" w:eastAsia="仿宋" w:cs="仿宋"/>
          <w:kern w:val="0"/>
          <w:sz w:val="28"/>
          <w:szCs w:val="28"/>
          <w:highlight w:val="none"/>
          <w:shd w:val="clear" w:color="auto" w:fill="auto"/>
        </w:rPr>
        <w:t xml:space="preserve">具有爱岗敬业的职业精神，勇于奋斗、乐观向上，具有自我管理能力、职业生涯规划的意识，有较强的集体意识和团队合作精神； </w:t>
      </w:r>
    </w:p>
    <w:p>
      <w:pPr>
        <w:keepNext w:val="0"/>
        <w:keepLines w:val="0"/>
        <w:pageBreakBefore w:val="0"/>
        <w:widowControl/>
        <w:shd w:val="clear"/>
        <w:kinsoku/>
        <w:wordWrap/>
        <w:overflowPunct/>
        <w:topLinePunct w:val="0"/>
        <w:autoSpaceDE/>
        <w:autoSpaceDN/>
        <w:bidi w:val="0"/>
        <w:snapToGrid w:val="0"/>
        <w:spacing w:line="360" w:lineRule="auto"/>
        <w:ind w:firstLine="560" w:firstLineChars="200"/>
        <w:jc w:val="left"/>
        <w:textAlignment w:val="auto"/>
        <w:rPr>
          <w:rFonts w:hint="eastAsia"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w:t>
      </w:r>
      <w:r>
        <w:rPr>
          <w:rFonts w:ascii="仿宋" w:hAnsi="仿宋" w:eastAsia="仿宋" w:cs="仿宋"/>
          <w:kern w:val="0"/>
          <w:sz w:val="28"/>
          <w:szCs w:val="28"/>
          <w:highlight w:val="none"/>
          <w:shd w:val="clear" w:color="auto" w:fill="auto"/>
        </w:rPr>
        <w:t>3</w:t>
      </w:r>
      <w:r>
        <w:rPr>
          <w:rFonts w:hint="eastAsia" w:ascii="仿宋" w:hAnsi="仿宋" w:eastAsia="仿宋" w:cs="仿宋"/>
          <w:kern w:val="0"/>
          <w:sz w:val="28"/>
          <w:szCs w:val="28"/>
          <w:highlight w:val="none"/>
          <w:shd w:val="clear" w:color="auto" w:fill="auto"/>
        </w:rPr>
        <w:t>）掌握支撑本专业学习和可持续发展必备的语文、数学、外语（英语等）、信息技术等文化基础知识</w:t>
      </w:r>
      <w:r>
        <w:rPr>
          <w:rFonts w:hint="eastAsia" w:ascii="仿宋" w:hAnsi="仿宋" w:eastAsia="仿宋" w:cs="仿宋"/>
          <w:kern w:val="0"/>
          <w:sz w:val="28"/>
          <w:szCs w:val="28"/>
          <w:highlight w:val="none"/>
          <w:shd w:val="clear" w:color="auto" w:fill="auto"/>
          <w:lang w:eastAsia="zh-CN"/>
        </w:rPr>
        <w:t>；</w:t>
      </w:r>
      <w:r>
        <w:rPr>
          <w:rFonts w:hint="eastAsia" w:ascii="仿宋" w:hAnsi="仿宋" w:eastAsia="仿宋" w:cs="仿宋"/>
          <w:b w:val="0"/>
          <w:bCs w:val="0"/>
          <w:kern w:val="0"/>
          <w:sz w:val="28"/>
          <w:szCs w:val="28"/>
          <w:highlight w:val="none"/>
          <w:shd w:val="clear" w:color="auto" w:fill="auto"/>
          <w:lang w:val="en-US" w:eastAsia="zh-CN" w:bidi="ar-SA"/>
        </w:rPr>
        <w:t>掌握必备的思想政治理论、科学文化基础知识和中华优秀传统文化知识；</w:t>
      </w:r>
      <w:r>
        <w:rPr>
          <w:rFonts w:hint="eastAsia" w:ascii="仿宋" w:hAnsi="仿宋" w:eastAsia="仿宋" w:cs="仿宋"/>
          <w:kern w:val="0"/>
          <w:sz w:val="28"/>
          <w:szCs w:val="28"/>
          <w:highlight w:val="none"/>
          <w:shd w:val="clear" w:color="auto" w:fill="auto"/>
        </w:rPr>
        <w:t xml:space="preserve">具有良好的人文素养与科学素养； </w:t>
      </w:r>
    </w:p>
    <w:p>
      <w:pPr>
        <w:keepNext w:val="0"/>
        <w:keepLines w:val="0"/>
        <w:pageBreakBefore w:val="0"/>
        <w:widowControl/>
        <w:shd w:val="clear"/>
        <w:kinsoku/>
        <w:wordWrap/>
        <w:overflowPunct/>
        <w:topLinePunct w:val="0"/>
        <w:autoSpaceDE/>
        <w:autoSpaceDN/>
        <w:bidi w:val="0"/>
        <w:snapToGrid w:val="0"/>
        <w:spacing w:line="360" w:lineRule="auto"/>
        <w:ind w:firstLine="560" w:firstLineChars="200"/>
        <w:jc w:val="left"/>
        <w:textAlignment w:val="auto"/>
        <w:rPr>
          <w:rFonts w:hint="eastAsia"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w:t>
      </w:r>
      <w:r>
        <w:rPr>
          <w:rFonts w:ascii="仿宋" w:hAnsi="仿宋" w:eastAsia="仿宋" w:cs="仿宋"/>
          <w:kern w:val="0"/>
          <w:sz w:val="28"/>
          <w:szCs w:val="28"/>
          <w:highlight w:val="none"/>
          <w:shd w:val="clear" w:color="auto" w:fill="auto"/>
        </w:rPr>
        <w:t>4</w:t>
      </w:r>
      <w:r>
        <w:rPr>
          <w:rFonts w:hint="eastAsia" w:ascii="仿宋" w:hAnsi="仿宋" w:eastAsia="仿宋" w:cs="仿宋"/>
          <w:kern w:val="0"/>
          <w:sz w:val="28"/>
          <w:szCs w:val="28"/>
          <w:highlight w:val="none"/>
          <w:shd w:val="clear" w:color="auto" w:fill="auto"/>
        </w:rPr>
        <w:t>）</w:t>
      </w:r>
      <w:r>
        <w:rPr>
          <w:rFonts w:hint="eastAsia" w:ascii="仿宋" w:hAnsi="仿宋" w:eastAsia="仿宋" w:cs="仿宋"/>
          <w:b w:val="0"/>
          <w:bCs w:val="0"/>
          <w:kern w:val="0"/>
          <w:sz w:val="28"/>
          <w:szCs w:val="28"/>
          <w:highlight w:val="none"/>
          <w:shd w:val="clear" w:color="auto" w:fill="auto"/>
        </w:rPr>
        <w:t>具有良</w:t>
      </w:r>
      <w:r>
        <w:rPr>
          <w:rFonts w:hint="eastAsia" w:ascii="仿宋" w:hAnsi="仿宋" w:eastAsia="仿宋" w:cs="仿宋"/>
          <w:kern w:val="0"/>
          <w:sz w:val="28"/>
          <w:szCs w:val="28"/>
          <w:highlight w:val="none"/>
          <w:shd w:val="clear" w:color="auto" w:fill="auto"/>
        </w:rPr>
        <w:t xml:space="preserve">好的语言表达能力、文字表达能力、沟通合作能力； </w:t>
      </w:r>
    </w:p>
    <w:p>
      <w:pPr>
        <w:pStyle w:val="4"/>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w:t>
      </w:r>
      <w:r>
        <w:rPr>
          <w:rFonts w:ascii="仿宋" w:hAnsi="仿宋" w:eastAsia="仿宋" w:cs="仿宋"/>
          <w:kern w:val="0"/>
          <w:sz w:val="28"/>
          <w:szCs w:val="28"/>
          <w:highlight w:val="none"/>
          <w:shd w:val="clear" w:color="auto" w:fill="auto"/>
        </w:rPr>
        <w:t>5</w:t>
      </w:r>
      <w:r>
        <w:rPr>
          <w:rFonts w:hint="eastAsia" w:ascii="仿宋" w:hAnsi="仿宋" w:eastAsia="仿宋" w:cs="仿宋"/>
          <w:kern w:val="0"/>
          <w:sz w:val="28"/>
          <w:szCs w:val="28"/>
          <w:highlight w:val="none"/>
          <w:shd w:val="clear" w:color="auto" w:fill="auto"/>
        </w:rPr>
        <w:t>）</w:t>
      </w:r>
      <w:r>
        <w:rPr>
          <w:rFonts w:hint="eastAsia" w:ascii="仿宋" w:hAnsi="仿宋" w:eastAsia="仿宋" w:cs="仿宋"/>
          <w:b w:val="0"/>
          <w:bCs w:val="0"/>
          <w:kern w:val="0"/>
          <w:sz w:val="28"/>
          <w:szCs w:val="28"/>
          <w:highlight w:val="none"/>
          <w:shd w:val="clear" w:color="auto" w:fill="auto"/>
          <w:lang w:val="en-US" w:eastAsia="zh-CN" w:bidi="ar-SA"/>
        </w:rPr>
        <w:t>掌握电子商务行业法律法规知识，经济和计算机基础理论，掌握基础营销知识与网络营销相关知识。掌握电子商务物流相关知识，电子商务运营业务各环节和交易的流程，主流电子商务平台的运营规则和推广方式。掌握商品拍摄、图形图像处理、网店网站的装修美化方法以及文案设计的知识。掌握电子商务日常工作中客户服务相关专业知识，互联网上商业交易的知识及运营网上商店的的相关知识</w:t>
      </w:r>
    </w:p>
    <w:p>
      <w:pPr>
        <w:keepNext w:val="0"/>
        <w:keepLines w:val="0"/>
        <w:pageBreakBefore w:val="0"/>
        <w:widowControl/>
        <w:shd w:val="clear"/>
        <w:kinsoku/>
        <w:wordWrap/>
        <w:overflowPunct/>
        <w:topLinePunct w:val="0"/>
        <w:autoSpaceDE/>
        <w:autoSpaceDN/>
        <w:bidi w:val="0"/>
        <w:snapToGrid w:val="0"/>
        <w:spacing w:line="360" w:lineRule="auto"/>
        <w:ind w:firstLine="560" w:firstLineChars="200"/>
        <w:jc w:val="left"/>
        <w:textAlignment w:val="auto"/>
        <w:rPr>
          <w:rFonts w:hint="eastAsia"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w:t>
      </w:r>
      <w:r>
        <w:rPr>
          <w:rFonts w:ascii="仿宋" w:hAnsi="仿宋" w:eastAsia="仿宋" w:cs="仿宋"/>
          <w:kern w:val="0"/>
          <w:sz w:val="28"/>
          <w:szCs w:val="28"/>
          <w:highlight w:val="none"/>
          <w:shd w:val="clear" w:color="auto" w:fill="auto"/>
        </w:rPr>
        <w:t>6</w:t>
      </w:r>
      <w:r>
        <w:rPr>
          <w:rFonts w:hint="eastAsia" w:ascii="仿宋" w:hAnsi="仿宋" w:eastAsia="仿宋" w:cs="仿宋"/>
          <w:kern w:val="0"/>
          <w:sz w:val="28"/>
          <w:szCs w:val="28"/>
          <w:highlight w:val="none"/>
          <w:shd w:val="clear" w:color="auto" w:fill="auto"/>
        </w:rPr>
        <w:t>）具有良好的计算机及网络技术能力，具备良好的语言、文字表达能力和沟通能力。</w:t>
      </w:r>
    </w:p>
    <w:p>
      <w:pPr>
        <w:keepNext w:val="0"/>
        <w:keepLines w:val="0"/>
        <w:pageBreakBefore w:val="0"/>
        <w:widowControl/>
        <w:shd w:val="clear"/>
        <w:kinsoku/>
        <w:wordWrap/>
        <w:overflowPunct/>
        <w:topLinePunct w:val="0"/>
        <w:autoSpaceDE/>
        <w:autoSpaceDN/>
        <w:bidi w:val="0"/>
        <w:snapToGrid w:val="0"/>
        <w:spacing w:line="360" w:lineRule="auto"/>
        <w:ind w:firstLine="560" w:firstLineChars="200"/>
        <w:jc w:val="left"/>
        <w:textAlignment w:val="auto"/>
        <w:rPr>
          <w:rFonts w:hint="eastAsia"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w:t>
      </w:r>
      <w:r>
        <w:rPr>
          <w:rFonts w:hint="eastAsia" w:ascii="仿宋" w:hAnsi="仿宋" w:eastAsia="仿宋" w:cs="仿宋"/>
          <w:kern w:val="0"/>
          <w:sz w:val="28"/>
          <w:szCs w:val="28"/>
          <w:highlight w:val="none"/>
          <w:shd w:val="clear" w:color="auto" w:fill="auto"/>
          <w:lang w:val="en-US" w:eastAsia="zh-CN"/>
        </w:rPr>
        <w:t>7</w:t>
      </w:r>
      <w:r>
        <w:rPr>
          <w:rFonts w:hint="eastAsia" w:ascii="仿宋" w:hAnsi="仿宋" w:eastAsia="仿宋" w:cs="仿宋"/>
          <w:kern w:val="0"/>
          <w:sz w:val="28"/>
          <w:szCs w:val="28"/>
          <w:highlight w:val="none"/>
          <w:shd w:val="clear" w:color="auto" w:fill="auto"/>
        </w:rPr>
        <w:t>）具有图像处理和电商美工设计能力，具备电商文案的创作能力</w:t>
      </w:r>
      <w:r>
        <w:rPr>
          <w:rFonts w:hint="eastAsia" w:ascii="仿宋" w:hAnsi="仿宋" w:eastAsia="仿宋" w:cs="仿宋"/>
          <w:kern w:val="0"/>
          <w:sz w:val="28"/>
          <w:szCs w:val="28"/>
          <w:highlight w:val="none"/>
          <w:shd w:val="clear" w:color="auto" w:fill="auto"/>
          <w:lang w:eastAsia="zh-CN"/>
        </w:rPr>
        <w:t>；</w:t>
      </w:r>
      <w:r>
        <w:rPr>
          <w:rFonts w:hint="eastAsia" w:ascii="仿宋" w:hAnsi="仿宋" w:eastAsia="仿宋" w:cs="仿宋"/>
          <w:kern w:val="0"/>
          <w:sz w:val="28"/>
          <w:szCs w:val="28"/>
          <w:highlight w:val="none"/>
          <w:shd w:val="clear" w:color="auto" w:fill="auto"/>
        </w:rPr>
        <w:t>具有音视频制作软件的应用能力，能够进行店铺页面的设计和短视频的策划、拍摄与剪辑能力</w:t>
      </w:r>
      <w:r>
        <w:rPr>
          <w:rFonts w:hint="eastAsia" w:ascii="仿宋" w:hAnsi="仿宋" w:eastAsia="仿宋" w:cs="仿宋"/>
          <w:kern w:val="0"/>
          <w:sz w:val="28"/>
          <w:szCs w:val="28"/>
          <w:highlight w:val="none"/>
          <w:shd w:val="clear" w:color="auto" w:fill="auto"/>
          <w:lang w:eastAsia="zh-CN"/>
        </w:rPr>
        <w:t>；</w:t>
      </w:r>
      <w:r>
        <w:rPr>
          <w:rFonts w:hint="eastAsia" w:ascii="仿宋" w:hAnsi="仿宋" w:eastAsia="仿宋" w:cs="仿宋"/>
          <w:kern w:val="0"/>
          <w:sz w:val="28"/>
          <w:szCs w:val="28"/>
          <w:highlight w:val="none"/>
          <w:shd w:val="clear" w:color="auto" w:fill="auto"/>
        </w:rPr>
        <w:t>具有电子商务数据分析、新媒体运用的能力，能够根据行业、网店及社群运营目标，实施引流、活动策划、需求挖掘和用户画像分析，通过全过程数据化运营促进用户拉新、留存、促活和转化</w:t>
      </w:r>
      <w:r>
        <w:rPr>
          <w:rFonts w:hint="eastAsia" w:ascii="仿宋" w:hAnsi="仿宋" w:eastAsia="仿宋" w:cs="仿宋"/>
          <w:kern w:val="0"/>
          <w:sz w:val="28"/>
          <w:szCs w:val="28"/>
          <w:highlight w:val="none"/>
          <w:shd w:val="clear" w:color="auto" w:fill="auto"/>
          <w:lang w:eastAsia="zh-CN"/>
        </w:rPr>
        <w:t>；</w:t>
      </w:r>
      <w:r>
        <w:rPr>
          <w:rFonts w:hint="eastAsia" w:ascii="仿宋" w:hAnsi="仿宋" w:eastAsia="仿宋" w:cs="仿宋"/>
          <w:kern w:val="0"/>
          <w:sz w:val="28"/>
          <w:szCs w:val="28"/>
          <w:highlight w:val="none"/>
          <w:shd w:val="clear" w:color="auto" w:fill="auto"/>
        </w:rPr>
        <w:t>具有市场调查与分析、活动策划的能力，能够使用各类平台营销推广方法与营销工具，完成活动文案设计、资源整合、营销活动、广告投放、效果评估能力。</w:t>
      </w:r>
    </w:p>
    <w:p>
      <w:pPr>
        <w:keepNext w:val="0"/>
        <w:keepLines w:val="0"/>
        <w:pageBreakBefore w:val="0"/>
        <w:widowControl/>
        <w:shd w:val="clear"/>
        <w:kinsoku/>
        <w:wordWrap/>
        <w:overflowPunct/>
        <w:topLinePunct w:val="0"/>
        <w:autoSpaceDE/>
        <w:autoSpaceDN/>
        <w:bidi w:val="0"/>
        <w:snapToGrid w:val="0"/>
        <w:spacing w:line="360" w:lineRule="auto"/>
        <w:ind w:firstLine="560" w:firstLineChars="200"/>
        <w:jc w:val="left"/>
        <w:textAlignment w:val="auto"/>
        <w:rPr>
          <w:rFonts w:hint="eastAsia"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w:t>
      </w:r>
      <w:r>
        <w:rPr>
          <w:rFonts w:hint="eastAsia" w:ascii="仿宋" w:hAnsi="仿宋" w:eastAsia="仿宋" w:cs="仿宋"/>
          <w:kern w:val="0"/>
          <w:sz w:val="28"/>
          <w:szCs w:val="28"/>
          <w:highlight w:val="none"/>
          <w:shd w:val="clear" w:color="auto" w:fill="auto"/>
          <w:lang w:val="en-US" w:eastAsia="zh-CN"/>
        </w:rPr>
        <w:t>8</w:t>
      </w:r>
      <w:r>
        <w:rPr>
          <w:rFonts w:hint="eastAsia" w:ascii="仿宋" w:hAnsi="仿宋" w:eastAsia="仿宋" w:cs="仿宋"/>
          <w:kern w:val="0"/>
          <w:sz w:val="28"/>
          <w:szCs w:val="28"/>
          <w:highlight w:val="none"/>
          <w:shd w:val="clear" w:color="auto" w:fill="auto"/>
        </w:rPr>
        <w:t>）具备客户服务、客户关系管理能力和较强的公关意识，善于沟通和协调，具备现代商务礼仪与谈判的能力</w:t>
      </w:r>
      <w:r>
        <w:rPr>
          <w:rFonts w:hint="eastAsia" w:ascii="仿宋" w:hAnsi="仿宋" w:eastAsia="仿宋" w:cs="仿宋"/>
          <w:kern w:val="0"/>
          <w:sz w:val="28"/>
          <w:szCs w:val="28"/>
          <w:highlight w:val="none"/>
          <w:shd w:val="clear" w:color="auto" w:fill="auto"/>
          <w:lang w:eastAsia="zh-CN"/>
        </w:rPr>
        <w:t>；</w:t>
      </w:r>
      <w:r>
        <w:rPr>
          <w:rFonts w:hint="eastAsia" w:ascii="仿宋" w:hAnsi="仿宋" w:eastAsia="仿宋" w:cs="仿宋"/>
          <w:kern w:val="0"/>
          <w:sz w:val="28"/>
          <w:szCs w:val="28"/>
          <w:highlight w:val="none"/>
          <w:shd w:val="clear" w:color="auto" w:fill="auto"/>
        </w:rPr>
        <w:t>具有终身学习和适应职业变化的能力。</w:t>
      </w:r>
    </w:p>
    <w:p>
      <w:pPr>
        <w:keepNext w:val="0"/>
        <w:keepLines w:val="0"/>
        <w:pageBreakBefore w:val="0"/>
        <w:widowControl/>
        <w:shd w:val="clear"/>
        <w:kinsoku/>
        <w:wordWrap/>
        <w:overflowPunct/>
        <w:topLinePunct w:val="0"/>
        <w:autoSpaceDE/>
        <w:autoSpaceDN/>
        <w:bidi w:val="0"/>
        <w:snapToGrid w:val="0"/>
        <w:spacing w:line="360" w:lineRule="auto"/>
        <w:ind w:firstLine="560" w:firstLineChars="200"/>
        <w:jc w:val="left"/>
        <w:textAlignment w:val="auto"/>
        <w:rPr>
          <w:rFonts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w:t>
      </w:r>
      <w:r>
        <w:rPr>
          <w:rFonts w:hint="eastAsia" w:ascii="仿宋" w:hAnsi="仿宋" w:eastAsia="仿宋" w:cs="仿宋"/>
          <w:kern w:val="0"/>
          <w:sz w:val="28"/>
          <w:szCs w:val="28"/>
          <w:highlight w:val="none"/>
          <w:shd w:val="clear" w:color="auto" w:fill="auto"/>
          <w:lang w:val="en-US" w:eastAsia="zh-CN"/>
        </w:rPr>
        <w:t>9</w:t>
      </w:r>
      <w:r>
        <w:rPr>
          <w:rFonts w:hint="eastAsia" w:ascii="仿宋" w:hAnsi="仿宋" w:eastAsia="仿宋" w:cs="仿宋"/>
          <w:kern w:val="0"/>
          <w:sz w:val="28"/>
          <w:szCs w:val="28"/>
          <w:highlight w:val="none"/>
          <w:shd w:val="clear" w:color="auto" w:fill="auto"/>
        </w:rPr>
        <w:t>）掌握身体运动的基本知识和至少</w:t>
      </w:r>
      <w:r>
        <w:rPr>
          <w:rFonts w:ascii="仿宋" w:hAnsi="仿宋" w:eastAsia="仿宋" w:cs="仿宋"/>
          <w:kern w:val="0"/>
          <w:sz w:val="28"/>
          <w:szCs w:val="28"/>
          <w:highlight w:val="none"/>
          <w:shd w:val="clear" w:color="auto" w:fill="auto"/>
        </w:rPr>
        <w:t>1</w:t>
      </w:r>
      <w:r>
        <w:rPr>
          <w:rFonts w:hint="eastAsia" w:ascii="仿宋" w:hAnsi="仿宋" w:eastAsia="仿宋" w:cs="仿宋"/>
          <w:kern w:val="0"/>
          <w:sz w:val="28"/>
          <w:szCs w:val="28"/>
          <w:highlight w:val="none"/>
          <w:shd w:val="clear" w:color="auto" w:fill="auto"/>
        </w:rPr>
        <w:t xml:space="preserve">项体育运动技能，达到国家大学生体质健康测试合格标准，养成良好的运动习惯、卫生习惯和行为习惯；具备一定的心理调适能力； </w:t>
      </w:r>
    </w:p>
    <w:p>
      <w:pPr>
        <w:keepNext w:val="0"/>
        <w:keepLines w:val="0"/>
        <w:pageBreakBefore w:val="0"/>
        <w:widowControl/>
        <w:shd w:val="clear"/>
        <w:kinsoku/>
        <w:wordWrap/>
        <w:overflowPunct/>
        <w:topLinePunct w:val="0"/>
        <w:autoSpaceDE/>
        <w:autoSpaceDN/>
        <w:bidi w:val="0"/>
        <w:snapToGrid w:val="0"/>
        <w:spacing w:line="360" w:lineRule="auto"/>
        <w:ind w:firstLine="560" w:firstLineChars="200"/>
        <w:jc w:val="left"/>
        <w:textAlignment w:val="auto"/>
        <w:rPr>
          <w:rFonts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w:t>
      </w:r>
      <w:r>
        <w:rPr>
          <w:rFonts w:ascii="仿宋" w:hAnsi="仿宋" w:eastAsia="仿宋" w:cs="仿宋"/>
          <w:kern w:val="0"/>
          <w:sz w:val="28"/>
          <w:szCs w:val="28"/>
          <w:highlight w:val="none"/>
          <w:shd w:val="clear" w:color="auto" w:fill="auto"/>
        </w:rPr>
        <w:t>1</w:t>
      </w:r>
      <w:r>
        <w:rPr>
          <w:rFonts w:hint="eastAsia" w:ascii="仿宋" w:hAnsi="仿宋" w:eastAsia="仿宋" w:cs="仿宋"/>
          <w:kern w:val="0"/>
          <w:sz w:val="28"/>
          <w:szCs w:val="28"/>
          <w:highlight w:val="none"/>
          <w:shd w:val="clear" w:color="auto" w:fill="auto"/>
          <w:lang w:val="en-US" w:eastAsia="zh-CN"/>
        </w:rPr>
        <w:t>0</w:t>
      </w:r>
      <w:r>
        <w:rPr>
          <w:rFonts w:hint="eastAsia" w:ascii="仿宋" w:hAnsi="仿宋" w:eastAsia="仿宋" w:cs="仿宋"/>
          <w:kern w:val="0"/>
          <w:sz w:val="28"/>
          <w:szCs w:val="28"/>
          <w:highlight w:val="none"/>
          <w:shd w:val="clear" w:color="auto" w:fill="auto"/>
        </w:rPr>
        <w:t xml:space="preserve">）掌握必备的美育知识，具有一定的文化修养、审美能力，形成至少 </w:t>
      </w:r>
      <w:r>
        <w:rPr>
          <w:rFonts w:ascii="仿宋" w:hAnsi="仿宋" w:eastAsia="仿宋" w:cs="仿宋"/>
          <w:kern w:val="0"/>
          <w:sz w:val="28"/>
          <w:szCs w:val="28"/>
          <w:highlight w:val="none"/>
          <w:shd w:val="clear" w:color="auto" w:fill="auto"/>
        </w:rPr>
        <w:t xml:space="preserve">1 </w:t>
      </w:r>
      <w:r>
        <w:rPr>
          <w:rFonts w:hint="eastAsia" w:ascii="仿宋" w:hAnsi="仿宋" w:eastAsia="仿宋" w:cs="仿宋"/>
          <w:kern w:val="0"/>
          <w:sz w:val="28"/>
          <w:szCs w:val="28"/>
          <w:highlight w:val="none"/>
          <w:shd w:val="clear" w:color="auto" w:fill="auto"/>
        </w:rPr>
        <w:t xml:space="preserve">项艺术特长或爱好； </w:t>
      </w:r>
    </w:p>
    <w:p>
      <w:pPr>
        <w:keepNext w:val="0"/>
        <w:keepLines w:val="0"/>
        <w:pageBreakBefore w:val="0"/>
        <w:widowControl/>
        <w:shd w:val="clear"/>
        <w:kinsoku/>
        <w:wordWrap/>
        <w:overflowPunct/>
        <w:topLinePunct w:val="0"/>
        <w:autoSpaceDE/>
        <w:autoSpaceDN/>
        <w:bidi w:val="0"/>
        <w:snapToGrid w:val="0"/>
        <w:spacing w:line="360" w:lineRule="auto"/>
        <w:ind w:firstLine="560" w:firstLineChars="200"/>
        <w:jc w:val="left"/>
        <w:textAlignment w:val="auto"/>
        <w:rPr>
          <w:rFonts w:ascii="仿宋" w:hAnsi="仿宋" w:eastAsia="仿宋" w:cs="仿宋"/>
          <w:kern w:val="0"/>
          <w:sz w:val="28"/>
          <w:szCs w:val="28"/>
          <w:highlight w:val="none"/>
          <w:shd w:val="clear" w:color="auto" w:fill="auto"/>
        </w:rPr>
      </w:pPr>
      <w:r>
        <w:rPr>
          <w:rFonts w:hint="eastAsia" w:ascii="仿宋" w:hAnsi="仿宋" w:eastAsia="仿宋" w:cs="仿宋"/>
          <w:kern w:val="0"/>
          <w:sz w:val="28"/>
          <w:szCs w:val="28"/>
          <w:highlight w:val="none"/>
          <w:shd w:val="clear" w:color="auto" w:fill="auto"/>
        </w:rPr>
        <w:t>（</w:t>
      </w:r>
      <w:r>
        <w:rPr>
          <w:rFonts w:ascii="仿宋" w:hAnsi="仿宋" w:eastAsia="仿宋" w:cs="仿宋"/>
          <w:kern w:val="0"/>
          <w:sz w:val="28"/>
          <w:szCs w:val="28"/>
          <w:highlight w:val="none"/>
          <w:shd w:val="clear" w:color="auto" w:fill="auto"/>
        </w:rPr>
        <w:t>1</w:t>
      </w:r>
      <w:r>
        <w:rPr>
          <w:rFonts w:hint="eastAsia" w:ascii="仿宋" w:hAnsi="仿宋" w:eastAsia="仿宋" w:cs="仿宋"/>
          <w:kern w:val="0"/>
          <w:sz w:val="28"/>
          <w:szCs w:val="28"/>
          <w:highlight w:val="none"/>
          <w:shd w:val="clear" w:color="auto" w:fill="auto"/>
          <w:lang w:val="en-US" w:eastAsia="zh-CN"/>
        </w:rPr>
        <w:t>1</w:t>
      </w:r>
      <w:r>
        <w:rPr>
          <w:rFonts w:hint="eastAsia" w:ascii="仿宋" w:hAnsi="仿宋" w:eastAsia="仿宋" w:cs="仿宋"/>
          <w:kern w:val="0"/>
          <w:sz w:val="28"/>
          <w:szCs w:val="28"/>
          <w:highlight w:val="none"/>
          <w:shd w:val="clear" w:color="auto" w:fill="auto"/>
        </w:rPr>
        <w:t>）树立正确的劳动观，尊重劳动，热爱劳动，具备与本专业职业发展相适应的劳动素养，弘扬劳模精神、劳动精神、工匠精神，弘扬劳动光荣、技能宝贵、创造伟大的时代风尚。</w:t>
      </w:r>
    </w:p>
    <w:p>
      <w:pPr>
        <w:pStyle w:val="4"/>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8"/>
          <w:rFonts w:ascii="黑体" w:hAnsi="黑体" w:eastAsia="黑体" w:cs="黑体"/>
          <w:b w:val="0"/>
          <w:bCs/>
          <w:color w:val="191919"/>
          <w:sz w:val="28"/>
          <w:szCs w:val="28"/>
          <w:highlight w:val="none"/>
          <w:shd w:val="clear" w:color="auto" w:fill="auto"/>
        </w:rPr>
      </w:pPr>
      <w:r>
        <w:rPr>
          <w:rStyle w:val="8"/>
          <w:rFonts w:hint="eastAsia" w:ascii="黑体" w:hAnsi="黑体" w:eastAsia="黑体" w:cs="黑体"/>
          <w:b w:val="0"/>
          <w:bCs/>
          <w:color w:val="191919"/>
          <w:sz w:val="28"/>
          <w:szCs w:val="28"/>
          <w:highlight w:val="none"/>
          <w:shd w:val="clear" w:color="auto" w:fill="auto"/>
        </w:rPr>
        <w:t>七</w:t>
      </w:r>
      <w:r>
        <w:rPr>
          <w:rStyle w:val="8"/>
          <w:rFonts w:ascii="黑体" w:hAnsi="黑体" w:eastAsia="黑体" w:cs="黑体"/>
          <w:b w:val="0"/>
          <w:bCs/>
          <w:color w:val="191919"/>
          <w:sz w:val="28"/>
          <w:szCs w:val="28"/>
          <w:highlight w:val="none"/>
          <w:shd w:val="clear" w:color="auto" w:fill="auto"/>
        </w:rPr>
        <w:t>、课程设置及</w:t>
      </w:r>
      <w:r>
        <w:rPr>
          <w:rStyle w:val="8"/>
          <w:rFonts w:hint="eastAsia" w:ascii="黑体" w:hAnsi="黑体" w:eastAsia="黑体" w:cs="黑体"/>
          <w:b w:val="0"/>
          <w:bCs/>
          <w:color w:val="191919"/>
          <w:sz w:val="28"/>
          <w:szCs w:val="28"/>
          <w:highlight w:val="none"/>
          <w:shd w:val="clear" w:color="auto" w:fill="auto"/>
        </w:rPr>
        <w:t>学时安排</w:t>
      </w:r>
    </w:p>
    <w:p>
      <w:pPr>
        <w:pStyle w:val="4"/>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（一）课程设置</w:t>
      </w:r>
    </w:p>
    <w:p>
      <w:pPr>
        <w:pStyle w:val="4"/>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ascii="仿宋" w:hAnsi="仿宋" w:eastAsia="仿宋" w:cs="仿宋"/>
          <w:sz w:val="28"/>
          <w:szCs w:val="28"/>
          <w:highlight w:val="none"/>
          <w:shd w:val="clear" w:color="auto" w:fill="auto"/>
        </w:rPr>
      </w:pPr>
      <w:r>
        <w:rPr>
          <w:rFonts w:ascii="仿宋" w:hAnsi="仿宋" w:eastAsia="仿宋" w:cs="仿宋"/>
          <w:sz w:val="28"/>
          <w:szCs w:val="28"/>
          <w:highlight w:val="none"/>
          <w:shd w:val="clear" w:color="auto" w:fill="auto"/>
        </w:rPr>
        <w:t>主要包括公共基础课程和专业课程。</w:t>
      </w:r>
    </w:p>
    <w:p>
      <w:pPr>
        <w:pStyle w:val="4"/>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1.</w:t>
      </w:r>
      <w:r>
        <w:rPr>
          <w:rFonts w:ascii="仿宋" w:hAnsi="仿宋" w:eastAsia="仿宋" w:cs="仿宋"/>
          <w:sz w:val="28"/>
          <w:szCs w:val="28"/>
          <w:highlight w:val="none"/>
          <w:shd w:val="clear" w:color="auto" w:fill="auto"/>
        </w:rPr>
        <w:t>公共基础课程</w:t>
      </w:r>
    </w:p>
    <w:p>
      <w:pPr>
        <w:pStyle w:val="4"/>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（1）公共基础必修课</w:t>
      </w:r>
    </w:p>
    <w:p>
      <w:pPr>
        <w:pStyle w:val="4"/>
        <w:widowControl/>
        <w:shd w:val="clear" w:color="auto"/>
        <w:adjustRightInd w:val="0"/>
        <w:snapToGrid w:val="0"/>
        <w:spacing w:beforeAutospacing="0" w:afterAutospacing="0" w:line="360" w:lineRule="auto"/>
        <w:ind w:firstLine="422" w:firstLineChars="200"/>
        <w:jc w:val="center"/>
        <w:rPr>
          <w:rFonts w:ascii="Times New Roman" w:hAnsi="Times New Roman" w:eastAsia="仿宋"/>
          <w:color w:val="191919"/>
          <w:sz w:val="28"/>
          <w:szCs w:val="28"/>
          <w:highlight w:val="none"/>
          <w:shd w:val="clear" w:color="auto" w:fill="auto"/>
        </w:rPr>
      </w:pPr>
      <w:r>
        <w:rPr>
          <w:rFonts w:hint="eastAsia" w:ascii="仿宋" w:hAnsi="仿宋" w:eastAsia="仿宋" w:cs="宋体"/>
          <w:b/>
          <w:sz w:val="21"/>
          <w:szCs w:val="21"/>
          <w:highlight w:val="none"/>
          <w:shd w:val="clear" w:color="auto" w:fill="auto"/>
        </w:rPr>
        <w:t>表1 公共基础必修课程说明表</w:t>
      </w:r>
    </w:p>
    <w:tbl>
      <w:tblPr>
        <w:tblStyle w:val="11"/>
        <w:tblW w:w="100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663"/>
        <w:gridCol w:w="3523"/>
        <w:gridCol w:w="4751"/>
        <w:gridCol w:w="5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575" w:type="dxa"/>
          </w:tcPr>
          <w:p>
            <w:pPr>
              <w:pStyle w:val="10"/>
              <w:shd w:val="clear"/>
              <w:spacing w:before="96" w:line="231" w:lineRule="auto"/>
              <w:ind w:left="145"/>
              <w:rPr>
                <w:rFonts w:ascii="宋体" w:hAnsi="宋体" w:eastAsia="宋体" w:cs="宋体"/>
                <w:b/>
                <w:bCs/>
                <w:sz w:val="18"/>
                <w:szCs w:val="18"/>
                <w:highlight w:val="none"/>
                <w:shd w:val="clear" w:color="auto" w:fill="auto"/>
              </w:rPr>
            </w:pPr>
            <w:r>
              <w:rPr>
                <w:rFonts w:hint="eastAsia" w:ascii="宋体" w:hAnsi="宋体" w:eastAsia="宋体" w:cs="宋体"/>
                <w:b/>
                <w:bCs/>
                <w:spacing w:val="1"/>
                <w:sz w:val="18"/>
                <w:szCs w:val="18"/>
                <w:highlight w:val="none"/>
                <w:shd w:val="clear" w:color="auto" w:fill="auto"/>
              </w:rPr>
              <w:t>序号</w:t>
            </w:r>
          </w:p>
        </w:tc>
        <w:tc>
          <w:tcPr>
            <w:tcW w:w="663" w:type="dxa"/>
          </w:tcPr>
          <w:p>
            <w:pPr>
              <w:pStyle w:val="10"/>
              <w:shd w:val="clear"/>
              <w:spacing w:before="79" w:line="229" w:lineRule="auto"/>
              <w:jc w:val="center"/>
              <w:rPr>
                <w:rFonts w:ascii="宋体" w:hAnsi="宋体" w:eastAsia="宋体" w:cs="宋体"/>
                <w:b/>
                <w:bCs/>
                <w:sz w:val="18"/>
                <w:szCs w:val="18"/>
                <w:highlight w:val="none"/>
                <w:shd w:val="clear" w:color="auto" w:fill="auto"/>
              </w:rPr>
            </w:pPr>
            <w:r>
              <w:rPr>
                <w:rFonts w:hint="eastAsia" w:ascii="宋体" w:hAnsi="宋体" w:eastAsia="宋体" w:cs="宋体"/>
                <w:b/>
                <w:bCs/>
                <w:sz w:val="18"/>
                <w:szCs w:val="18"/>
                <w:highlight w:val="none"/>
                <w:shd w:val="clear" w:color="auto" w:fill="auto"/>
              </w:rPr>
              <w:t>名称</w:t>
            </w:r>
          </w:p>
        </w:tc>
        <w:tc>
          <w:tcPr>
            <w:tcW w:w="3523" w:type="dxa"/>
          </w:tcPr>
          <w:p>
            <w:pPr>
              <w:pStyle w:val="10"/>
              <w:shd w:val="clear"/>
              <w:spacing w:before="96" w:line="231" w:lineRule="auto"/>
              <w:jc w:val="center"/>
              <w:rPr>
                <w:rFonts w:ascii="宋体" w:hAnsi="宋体" w:eastAsia="宋体" w:cs="宋体"/>
                <w:sz w:val="18"/>
                <w:szCs w:val="18"/>
                <w:highlight w:val="none"/>
                <w:shd w:val="clear" w:color="auto" w:fill="auto"/>
              </w:rPr>
            </w:pPr>
            <w:r>
              <w:rPr>
                <w:rFonts w:hint="eastAsia" w:ascii="宋体" w:hAnsi="宋体" w:eastAsia="宋体" w:cs="宋体"/>
                <w:b/>
                <w:bCs/>
                <w:spacing w:val="5"/>
                <w:sz w:val="18"/>
                <w:szCs w:val="18"/>
                <w:highlight w:val="none"/>
                <w:shd w:val="clear" w:color="auto" w:fill="auto"/>
              </w:rPr>
              <w:t>教学目标</w:t>
            </w:r>
          </w:p>
        </w:tc>
        <w:tc>
          <w:tcPr>
            <w:tcW w:w="4751" w:type="dxa"/>
          </w:tcPr>
          <w:p>
            <w:pPr>
              <w:pStyle w:val="10"/>
              <w:shd w:val="clear"/>
              <w:spacing w:before="96" w:line="231" w:lineRule="auto"/>
              <w:ind w:left="916"/>
              <w:rPr>
                <w:rFonts w:ascii="宋体" w:hAnsi="宋体" w:eastAsia="宋体" w:cs="宋体"/>
                <w:sz w:val="18"/>
                <w:szCs w:val="18"/>
                <w:highlight w:val="none"/>
                <w:shd w:val="clear" w:color="auto" w:fill="auto"/>
              </w:rPr>
            </w:pPr>
            <w:r>
              <w:rPr>
                <w:rFonts w:hint="eastAsia" w:ascii="宋体" w:hAnsi="宋体" w:eastAsia="宋体" w:cs="宋体"/>
                <w:b/>
                <w:bCs/>
                <w:spacing w:val="6"/>
                <w:sz w:val="18"/>
                <w:szCs w:val="18"/>
                <w:highlight w:val="none"/>
                <w:shd w:val="clear" w:color="auto" w:fill="auto"/>
              </w:rPr>
              <w:t>主要内容和教学要求</w:t>
            </w:r>
          </w:p>
        </w:tc>
        <w:tc>
          <w:tcPr>
            <w:tcW w:w="526" w:type="dxa"/>
          </w:tcPr>
          <w:p>
            <w:pPr>
              <w:pStyle w:val="10"/>
              <w:shd w:val="clear"/>
              <w:spacing w:before="78" w:line="232" w:lineRule="auto"/>
              <w:jc w:val="center"/>
              <w:rPr>
                <w:rFonts w:ascii="宋体" w:hAnsi="宋体" w:eastAsia="宋体" w:cs="宋体"/>
                <w:sz w:val="18"/>
                <w:szCs w:val="18"/>
                <w:highlight w:val="none"/>
                <w:shd w:val="clear" w:color="auto" w:fill="auto"/>
              </w:rPr>
            </w:pPr>
            <w:r>
              <w:rPr>
                <w:rFonts w:hint="eastAsia" w:ascii="宋体" w:hAnsi="宋体" w:eastAsia="宋体" w:cs="宋体"/>
                <w:b/>
                <w:bCs/>
                <w:spacing w:val="-4"/>
                <w:sz w:val="18"/>
                <w:szCs w:val="18"/>
                <w:highlight w:val="none"/>
                <w:shd w:val="clear" w:color="auto" w:fill="auto"/>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6" w:hRule="atLeast"/>
          <w:jc w:val="center"/>
        </w:trPr>
        <w:tc>
          <w:tcPr>
            <w:tcW w:w="575" w:type="dxa"/>
            <w:vAlign w:val="center"/>
          </w:tcPr>
          <w:p>
            <w:pPr>
              <w:pStyle w:val="10"/>
              <w:shd w:val="clear"/>
              <w:spacing w:before="65" w:line="187" w:lineRule="auto"/>
              <w:ind w:left="313"/>
              <w:jc w:val="center"/>
              <w:rPr>
                <w:rFonts w:ascii="宋体" w:hAnsi="宋体" w:eastAsia="宋体" w:cs="宋体"/>
                <w:sz w:val="18"/>
                <w:szCs w:val="18"/>
                <w:highlight w:val="none"/>
                <w:shd w:val="clear" w:color="auto" w:fill="auto"/>
                <w:lang w:eastAsia="zh-CN"/>
              </w:rPr>
            </w:pPr>
            <w:r>
              <w:rPr>
                <w:rFonts w:hint="eastAsia" w:ascii="宋体" w:hAnsi="宋体" w:eastAsia="宋体" w:cs="宋体"/>
                <w:sz w:val="18"/>
                <w:szCs w:val="18"/>
                <w:highlight w:val="none"/>
                <w:shd w:val="clear" w:color="auto" w:fill="auto"/>
                <w:lang w:eastAsia="zh-CN"/>
              </w:rPr>
              <w:t>1</w:t>
            </w:r>
          </w:p>
          <w:p>
            <w:pPr>
              <w:pStyle w:val="10"/>
              <w:shd w:val="clear"/>
              <w:spacing w:before="65" w:line="187" w:lineRule="auto"/>
              <w:ind w:left="313"/>
              <w:jc w:val="center"/>
              <w:rPr>
                <w:rFonts w:ascii="宋体" w:hAnsi="宋体" w:eastAsia="宋体" w:cs="宋体"/>
                <w:sz w:val="18"/>
                <w:szCs w:val="18"/>
                <w:highlight w:val="none"/>
                <w:shd w:val="clear" w:color="auto" w:fill="auto"/>
                <w:lang w:eastAsia="zh-CN"/>
              </w:rPr>
            </w:pPr>
          </w:p>
        </w:tc>
        <w:tc>
          <w:tcPr>
            <w:tcW w:w="663" w:type="dxa"/>
            <w:vAlign w:val="center"/>
          </w:tcPr>
          <w:p>
            <w:pPr>
              <w:pStyle w:val="10"/>
              <w:shd w:val="clear"/>
              <w:spacing w:before="65" w:line="240" w:lineRule="auto"/>
              <w:ind w:left="76" w:right="69" w:firstLine="8"/>
              <w:jc w:val="center"/>
              <w:rPr>
                <w:rFonts w:ascii="宋体" w:hAnsi="宋体" w:eastAsia="宋体" w:cs="宋体"/>
                <w:b/>
                <w:bCs/>
                <w:snapToGrid w:val="0"/>
                <w:color w:val="000000"/>
                <w:spacing w:val="-7"/>
                <w:kern w:val="0"/>
                <w:sz w:val="18"/>
                <w:szCs w:val="18"/>
                <w:highlight w:val="none"/>
                <w:shd w:val="clear" w:color="auto" w:fill="auto"/>
                <w:lang w:eastAsia="zh-CN"/>
              </w:rPr>
            </w:pPr>
            <w:r>
              <w:rPr>
                <w:rFonts w:hint="eastAsia" w:ascii="宋体" w:hAnsi="宋体" w:eastAsia="宋体" w:cs="宋体"/>
                <w:b/>
                <w:bCs/>
                <w:snapToGrid w:val="0"/>
                <w:color w:val="000000"/>
                <w:spacing w:val="-7"/>
                <w:kern w:val="0"/>
                <w:sz w:val="18"/>
                <w:szCs w:val="18"/>
                <w:highlight w:val="none"/>
                <w:shd w:val="clear" w:color="auto" w:fill="auto"/>
                <w:lang w:eastAsia="zh-CN"/>
              </w:rPr>
              <w:t>思想道德与法治</w:t>
            </w:r>
          </w:p>
        </w:tc>
        <w:tc>
          <w:tcPr>
            <w:tcW w:w="352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通过本课程学习，帮助学生筑牢理想信念之基，培育和践行社会主义核心价值观，传承中华传统美德，弘扬中国精神，尊重和维护宪法法律权威，提升思想道德素质和法治素养。</w:t>
            </w:r>
          </w:p>
        </w:tc>
        <w:tc>
          <w:tcPr>
            <w:tcW w:w="4751"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课程主要内容涵盖人生观、价值观教育，中国精神与社会主义核心价值观，社会主义道德建设，以及法治思想与法治素养。</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教学要求注重理论与实践相结合，通过案例分析、学生讨论等方式加深学生对理论知识的理解；引导学生自主学习，培养其独立思考和解决问题的能力；强化法治思维培养，帮助学生形成尊法学法守法用法的良好习惯；同时，注重思想道德修养，引导学生树立正确的道德观，积极传承中华传统美德和中国革命道德，以全面提升学生的综合素质。</w:t>
            </w:r>
          </w:p>
        </w:tc>
        <w:tc>
          <w:tcPr>
            <w:tcW w:w="526" w:type="dxa"/>
            <w:vAlign w:val="center"/>
          </w:tcPr>
          <w:p>
            <w:pPr>
              <w:shd w:val="clear"/>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jc w:val="center"/>
        </w:trPr>
        <w:tc>
          <w:tcPr>
            <w:tcW w:w="575" w:type="dxa"/>
            <w:vAlign w:val="center"/>
          </w:tcPr>
          <w:p>
            <w:pPr>
              <w:pStyle w:val="10"/>
              <w:shd w:val="clear"/>
              <w:spacing w:before="65" w:line="187" w:lineRule="auto"/>
              <w:ind w:left="313"/>
              <w:jc w:val="center"/>
              <w:rPr>
                <w:rFonts w:ascii="宋体" w:hAnsi="宋体" w:eastAsia="宋体" w:cs="宋体"/>
                <w:sz w:val="18"/>
                <w:szCs w:val="18"/>
                <w:highlight w:val="none"/>
                <w:shd w:val="clear" w:color="auto" w:fill="auto"/>
                <w:lang w:eastAsia="zh-CN"/>
              </w:rPr>
            </w:pPr>
            <w:r>
              <w:rPr>
                <w:rFonts w:hint="eastAsia" w:ascii="宋体" w:hAnsi="宋体" w:eastAsia="宋体" w:cs="宋体"/>
                <w:sz w:val="18"/>
                <w:szCs w:val="18"/>
                <w:highlight w:val="none"/>
                <w:shd w:val="clear" w:color="auto" w:fill="auto"/>
                <w:lang w:eastAsia="zh-CN"/>
              </w:rPr>
              <w:t>2</w:t>
            </w:r>
          </w:p>
        </w:tc>
        <w:tc>
          <w:tcPr>
            <w:tcW w:w="663" w:type="dxa"/>
            <w:vAlign w:val="center"/>
          </w:tcPr>
          <w:p>
            <w:pPr>
              <w:shd w:val="clear"/>
              <w:spacing w:line="240" w:lineRule="auto"/>
              <w:jc w:val="center"/>
              <w:rPr>
                <w:rFonts w:ascii="宋体" w:hAnsi="宋体" w:eastAsia="宋体" w:cs="宋体"/>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毛泽东思想和中国 特色社会 主义理论 体系概论</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通过本课程学习，使学生全面理解并掌握毛泽东思想和中国特色社会主义理论体系的核心内容，增强其理论素养和实践能力，培养成为具有坚定理想信念和“四个自信”的社会主义建设者和接班人。</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课程主要内容涵盖马克思主义中国化的历史进程、新民主主义革命理论、社会主义改造与建设理论，以及中国特色社会主义理论体系的形成、发展和主要成果。</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教学要求注重理论与实践相结合，引导学生自主学习，强调历史与现实相联系，全面提升学生的综合素质，培养其运用马克思主义立场、观点和方法分析解决问题的能力。</w:t>
            </w:r>
          </w:p>
        </w:tc>
        <w:tc>
          <w:tcPr>
            <w:tcW w:w="526" w:type="dxa"/>
            <w:vAlign w:val="center"/>
          </w:tcPr>
          <w:p>
            <w:pPr>
              <w:shd w:val="clear"/>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0" w:hRule="atLeast"/>
          <w:jc w:val="center"/>
        </w:trPr>
        <w:tc>
          <w:tcPr>
            <w:tcW w:w="575" w:type="dxa"/>
            <w:vAlign w:val="center"/>
          </w:tcPr>
          <w:p>
            <w:pPr>
              <w:pStyle w:val="10"/>
              <w:shd w:val="clear"/>
              <w:spacing w:before="65" w:line="187" w:lineRule="auto"/>
              <w:ind w:left="313"/>
              <w:jc w:val="center"/>
              <w:rPr>
                <w:rFonts w:ascii="宋体" w:hAnsi="宋体" w:eastAsia="宋体" w:cs="宋体"/>
                <w:sz w:val="18"/>
                <w:szCs w:val="18"/>
                <w:highlight w:val="none"/>
                <w:shd w:val="clear" w:color="auto" w:fill="auto"/>
                <w:lang w:eastAsia="zh-CN"/>
              </w:rPr>
            </w:pPr>
            <w:r>
              <w:rPr>
                <w:rFonts w:hint="eastAsia" w:ascii="宋体" w:hAnsi="宋体" w:eastAsia="宋体" w:cs="宋体"/>
                <w:sz w:val="18"/>
                <w:szCs w:val="18"/>
                <w:highlight w:val="none"/>
                <w:shd w:val="clear" w:color="auto" w:fill="auto"/>
                <w:lang w:eastAsia="zh-CN"/>
              </w:rPr>
              <w:t>3</w:t>
            </w:r>
          </w:p>
        </w:tc>
        <w:tc>
          <w:tcPr>
            <w:tcW w:w="663" w:type="dxa"/>
            <w:shd w:val="clear" w:color="auto" w:fill="auto"/>
            <w:vAlign w:val="center"/>
          </w:tcPr>
          <w:p>
            <w:pPr>
              <w:shd w:val="clear"/>
              <w:spacing w:line="240" w:lineRule="auto"/>
              <w:jc w:val="center"/>
              <w:rPr>
                <w:rFonts w:ascii="宋体" w:hAnsi="宋体" w:eastAsia="宋体" w:cs="宋体"/>
                <w:b/>
                <w:bCs/>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习近平新时代中国特色社会主义思想概论</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通过本课程学习，使学生准确理解、深刻把握习近平新时代中国特色社会主义思想的时代背景、核心要义、精神实质、丰富内涵、实践要求。增强学生的“四个意识”、坚定“四个自信”、做到“两个维护”，厚植爱国主义情怀，把爱国情、强国志、报国行融入坚持和发展中国特色社会主义、建设社会主义现代化强国、实现中华民族伟大复兴的奋斗之中。</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课程内容涵盖新时代坚持和发展中国特色社会主义的总目标、总任务、总体布局、战略布局等基本问题。涉及经济、政治、法治、科技、文化、教育、民生、社会、生态文明、国家安全、国防和军队、“一国两制”和祖国统一、统一战线、外交、党的建设等各方面内容。</w:t>
            </w:r>
          </w:p>
          <w:p>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教学要求注重理论与实践相结合，通过多样化的教学方式如案例分析、讨论交流等，引导学生自主学习，培养其运用理论分析和解决实际问题的能力，同时强调历史与现实相联系，帮助学生准确把握理论的历史渊源和现实意义。</w:t>
            </w:r>
          </w:p>
        </w:tc>
        <w:tc>
          <w:tcPr>
            <w:tcW w:w="526" w:type="dxa"/>
            <w:shd w:val="clear" w:color="auto" w:fill="auto"/>
            <w:vAlign w:val="center"/>
          </w:tcPr>
          <w:p>
            <w:pPr>
              <w:shd w:val="clear"/>
              <w:jc w:val="center"/>
              <w:rPr>
                <w:rFonts w:ascii="宋体" w:hAnsi="宋体" w:eastAsia="宋体" w:cs="宋体"/>
                <w:sz w:val="18"/>
                <w:szCs w:val="18"/>
                <w:highlight w:val="none"/>
                <w:shd w:val="clear" w:color="auto" w:fill="auto"/>
                <w:lang w:eastAsia="en-US"/>
              </w:rPr>
            </w:pPr>
            <w:r>
              <w:rPr>
                <w:rFonts w:hint="eastAsia" w:ascii="宋体" w:hAnsi="宋体" w:eastAsia="宋体" w:cs="宋体"/>
                <w:sz w:val="18"/>
                <w:szCs w:val="18"/>
                <w:highlight w:val="none"/>
                <w:shd w:val="clear" w:color="auto" w:fill="auto"/>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jc w:val="center"/>
        </w:trPr>
        <w:tc>
          <w:tcPr>
            <w:tcW w:w="575" w:type="dxa"/>
            <w:vAlign w:val="center"/>
          </w:tcPr>
          <w:p>
            <w:pPr>
              <w:pStyle w:val="10"/>
              <w:shd w:val="clear"/>
              <w:spacing w:before="65" w:line="187" w:lineRule="auto"/>
              <w:ind w:left="313"/>
              <w:jc w:val="center"/>
              <w:rPr>
                <w:rFonts w:ascii="宋体" w:hAnsi="宋体" w:eastAsia="宋体" w:cs="宋体"/>
                <w:sz w:val="18"/>
                <w:szCs w:val="18"/>
                <w:highlight w:val="none"/>
                <w:shd w:val="clear" w:color="auto" w:fill="auto"/>
                <w:lang w:eastAsia="zh-CN"/>
              </w:rPr>
            </w:pPr>
            <w:r>
              <w:rPr>
                <w:rFonts w:hint="eastAsia" w:ascii="宋体" w:hAnsi="宋体" w:eastAsia="宋体" w:cs="宋体"/>
                <w:sz w:val="18"/>
                <w:szCs w:val="18"/>
                <w:highlight w:val="none"/>
                <w:shd w:val="clear" w:color="auto" w:fill="auto"/>
                <w:lang w:eastAsia="zh-CN"/>
              </w:rPr>
              <w:t>4</w:t>
            </w:r>
          </w:p>
        </w:tc>
        <w:tc>
          <w:tcPr>
            <w:tcW w:w="663" w:type="dxa"/>
            <w:shd w:val="clear" w:color="auto" w:fill="auto"/>
            <w:vAlign w:val="center"/>
          </w:tcPr>
          <w:p>
            <w:pPr>
              <w:shd w:val="clear"/>
              <w:spacing w:line="240" w:lineRule="auto"/>
              <w:jc w:val="center"/>
              <w:rPr>
                <w:rFonts w:ascii="宋体" w:hAnsi="宋体" w:eastAsia="宋体" w:cs="宋体"/>
                <w:b/>
                <w:bCs/>
                <w:sz w:val="18"/>
                <w:szCs w:val="18"/>
                <w:highlight w:val="none"/>
                <w:shd w:val="clear" w:color="auto" w:fill="auto"/>
              </w:rPr>
            </w:pPr>
            <w:r>
              <w:rPr>
                <w:rFonts w:hint="eastAsia" w:ascii="宋体" w:hAnsi="宋体" w:eastAsia="宋体" w:cs="宋体"/>
                <w:b/>
                <w:bCs/>
                <w:sz w:val="18"/>
                <w:szCs w:val="18"/>
                <w:highlight w:val="none"/>
                <w:shd w:val="clear" w:color="auto" w:fill="auto"/>
              </w:rPr>
              <w:t>形势与</w:t>
            </w:r>
          </w:p>
          <w:p>
            <w:pPr>
              <w:shd w:val="clear"/>
              <w:spacing w:line="240" w:lineRule="auto"/>
              <w:jc w:val="center"/>
              <w:rPr>
                <w:rFonts w:ascii="宋体" w:hAnsi="宋体" w:eastAsia="宋体" w:cs="宋体"/>
                <w:b/>
                <w:bCs/>
                <w:sz w:val="18"/>
                <w:szCs w:val="18"/>
                <w:highlight w:val="none"/>
                <w:shd w:val="clear" w:color="auto" w:fill="auto"/>
              </w:rPr>
            </w:pPr>
            <w:r>
              <w:rPr>
                <w:rFonts w:hint="eastAsia" w:ascii="宋体" w:hAnsi="宋体" w:eastAsia="宋体" w:cs="宋体"/>
                <w:b/>
                <w:bCs/>
                <w:sz w:val="18"/>
                <w:szCs w:val="18"/>
                <w:highlight w:val="none"/>
                <w:shd w:val="clear" w:color="auto" w:fill="auto"/>
              </w:rPr>
              <w:t>政策</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通过本课程学习，</w:t>
            </w:r>
            <w:r>
              <w:rPr>
                <w:rFonts w:hint="eastAsia" w:ascii="仿宋" w:hAnsi="仿宋" w:eastAsia="仿宋" w:cs="仿宋"/>
                <w:color w:val="auto"/>
                <w:highlight w:val="none"/>
                <w:lang w:val="en-US" w:eastAsia="en-US"/>
              </w:rPr>
              <w:t>帮助学生全面、深入地了解国内外政治、经济、文化等领域的形势与政策，增强其分析形势、解读政策的能力，并培养其形成正确的世界观、人生观和价值观。</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课程内容涵盖国家重大方针政策、国际形势分析以及国内热点问题探讨，注重理论与实践相结合。</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在教学要求上，强调引导学生关注社会热点，培养其独立思考、分析问题和解决问题的能力，同时注重启发式教学，激发学生的学习兴趣和主动性，以提升其综合素质。</w:t>
            </w:r>
          </w:p>
        </w:tc>
        <w:tc>
          <w:tcPr>
            <w:tcW w:w="526" w:type="dxa"/>
            <w:shd w:val="clear" w:color="auto" w:fill="auto"/>
            <w:vAlign w:val="center"/>
          </w:tcPr>
          <w:p>
            <w:pPr>
              <w:shd w:val="clear"/>
              <w:spacing w:line="216" w:lineRule="auto"/>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jc w:val="center"/>
        </w:trPr>
        <w:tc>
          <w:tcPr>
            <w:tcW w:w="575" w:type="dxa"/>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5</w:t>
            </w:r>
          </w:p>
        </w:tc>
        <w:tc>
          <w:tcPr>
            <w:tcW w:w="663" w:type="dxa"/>
            <w:shd w:val="clear" w:color="auto" w:fill="auto"/>
            <w:vAlign w:val="center"/>
          </w:tcPr>
          <w:p>
            <w:pPr>
              <w:shd w:val="clear"/>
              <w:spacing w:line="240" w:lineRule="auto"/>
              <w:jc w:val="center"/>
              <w:rPr>
                <w:rFonts w:ascii="宋体" w:hAnsi="宋体" w:eastAsia="宋体" w:cs="宋体"/>
                <w:b/>
                <w:bCs/>
                <w:snapToGrid w:val="0"/>
                <w:color w:val="000000"/>
                <w:spacing w:val="-7"/>
                <w:kern w:val="0"/>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体育与健康</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通过理论学习，使学生正确认识体质、健康与体育的关系，掌握科学的锻炼方法与原则和常见运动创伤的处置；通过技能学习，发展身体素质、增强体质，培养学生顽强拼搏、 团结协作、敢于竞争的优良品质。</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rPr>
              <w:t>以田径和身体素质为主；每学期学生在篮球、足球、排球、乒乓球、羽毛球、健美操、瑜伽、游泳等体育项目中自主选择项进行学习。通过理论教学+实践教学的方式，使学生在校期间至少能掌握2个及以上终身受益的体育运动技能，为终身体育打下良好的基础。</w:t>
            </w:r>
          </w:p>
        </w:tc>
        <w:tc>
          <w:tcPr>
            <w:tcW w:w="526" w:type="dxa"/>
            <w:shd w:val="clear" w:color="auto" w:fill="auto"/>
            <w:vAlign w:val="center"/>
          </w:tcPr>
          <w:p>
            <w:pPr>
              <w:shd w:val="clear"/>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108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jc w:val="center"/>
        </w:trPr>
        <w:tc>
          <w:tcPr>
            <w:tcW w:w="575" w:type="dxa"/>
            <w:vAlign w:val="center"/>
          </w:tcPr>
          <w:p>
            <w:pPr>
              <w:shd w:val="clear"/>
              <w:adjustRightInd w:val="0"/>
              <w:snapToGrid w:val="0"/>
              <w:spacing w:line="240" w:lineRule="exact"/>
              <w:jc w:val="center"/>
              <w:rPr>
                <w:rFonts w:ascii="宋体" w:hAnsi="宋体" w:eastAsia="宋体" w:cs="宋体"/>
                <w:snapToGrid w:val="0"/>
                <w:spacing w:val="-7"/>
                <w:kern w:val="0"/>
                <w:sz w:val="18"/>
                <w:szCs w:val="18"/>
                <w:highlight w:val="none"/>
                <w:shd w:val="clear" w:color="auto" w:fill="auto"/>
              </w:rPr>
            </w:pPr>
            <w:r>
              <w:rPr>
                <w:rFonts w:hint="eastAsia" w:ascii="宋体" w:hAnsi="宋体" w:eastAsia="宋体" w:cs="宋体"/>
                <w:snapToGrid w:val="0"/>
                <w:spacing w:val="-7"/>
                <w:kern w:val="0"/>
                <w:sz w:val="18"/>
                <w:szCs w:val="18"/>
                <w:highlight w:val="none"/>
                <w:shd w:val="clear" w:color="auto" w:fill="auto"/>
              </w:rPr>
              <w:t>6</w:t>
            </w:r>
          </w:p>
          <w:p>
            <w:pPr>
              <w:shd w:val="clear"/>
              <w:adjustRightInd w:val="0"/>
              <w:snapToGrid w:val="0"/>
              <w:spacing w:line="240" w:lineRule="exact"/>
              <w:jc w:val="center"/>
              <w:rPr>
                <w:rFonts w:ascii="宋体" w:hAnsi="宋体" w:eastAsia="宋体" w:cs="宋体"/>
                <w:snapToGrid w:val="0"/>
                <w:spacing w:val="-7"/>
                <w:kern w:val="0"/>
                <w:sz w:val="18"/>
                <w:szCs w:val="18"/>
                <w:highlight w:val="none"/>
                <w:shd w:val="clear" w:color="auto" w:fill="auto"/>
              </w:rPr>
            </w:pPr>
          </w:p>
        </w:tc>
        <w:tc>
          <w:tcPr>
            <w:tcW w:w="663" w:type="dxa"/>
            <w:shd w:val="clear" w:color="auto" w:fill="auto"/>
            <w:vAlign w:val="center"/>
          </w:tcPr>
          <w:p>
            <w:pPr>
              <w:shd w:val="clear"/>
              <w:spacing w:line="240" w:lineRule="auto"/>
              <w:jc w:val="center"/>
              <w:rPr>
                <w:rFonts w:ascii="宋体" w:hAnsi="宋体" w:eastAsia="宋体" w:cs="宋体"/>
                <w:b/>
                <w:bCs/>
                <w:snapToGrid w:val="0"/>
                <w:color w:val="000000"/>
                <w:spacing w:val="-7"/>
                <w:kern w:val="0"/>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军事理论</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为适应立德树人根本任务和强军目标根本要求，使学生增强国防观念、国家安全和忧患危机意识，强化爱国主义观念，掌握基本军事知识，提高综合素质，为我军培养后备兵员和预备役军官打基础。</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主要内容：按照教育部、中央军委国防动员部联合制订的《普通高等学校军事课教学大纲》〔教体艺（2019）1号〕文件精神（以下简称《大纲》）的规定，包括中国国防（国防概述、国防法规、国防建设、武装力量、国防动员）；国家安全（国家安全概述、国家安全形势、国际战略形势）；军事思想（军事思想概述、当代中国军事思想、中国古代军事思想、外国军事思想）；现代战争（战争概述、新军事革命、机械化战争、信息化战争）；信息化装备（信息化装备概述、信息化作战平台、综合电子信息系统、信息化杀伤武器）等内容。</w:t>
            </w:r>
          </w:p>
        </w:tc>
        <w:tc>
          <w:tcPr>
            <w:tcW w:w="526" w:type="dxa"/>
            <w:shd w:val="clear" w:color="auto" w:fill="auto"/>
            <w:vAlign w:val="center"/>
          </w:tcPr>
          <w:p>
            <w:pPr>
              <w:shd w:val="clear"/>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0" w:hRule="atLeast"/>
          <w:jc w:val="center"/>
        </w:trPr>
        <w:tc>
          <w:tcPr>
            <w:tcW w:w="575" w:type="dxa"/>
            <w:vAlign w:val="center"/>
          </w:tcPr>
          <w:p>
            <w:pPr>
              <w:shd w:val="clear"/>
              <w:adjustRightInd w:val="0"/>
              <w:snapToGrid w:val="0"/>
              <w:spacing w:line="240" w:lineRule="exact"/>
              <w:jc w:val="center"/>
              <w:rPr>
                <w:rFonts w:ascii="宋体" w:hAnsi="宋体" w:eastAsia="宋体" w:cs="宋体"/>
                <w:snapToGrid w:val="0"/>
                <w:spacing w:val="-7"/>
                <w:kern w:val="0"/>
                <w:sz w:val="18"/>
                <w:szCs w:val="18"/>
                <w:highlight w:val="none"/>
                <w:shd w:val="clear" w:color="auto" w:fill="auto"/>
              </w:rPr>
            </w:pPr>
            <w:r>
              <w:rPr>
                <w:rFonts w:hint="eastAsia" w:ascii="宋体" w:hAnsi="宋体" w:eastAsia="宋体" w:cs="宋体"/>
                <w:snapToGrid w:val="0"/>
                <w:spacing w:val="-7"/>
                <w:kern w:val="0"/>
                <w:sz w:val="18"/>
                <w:szCs w:val="18"/>
                <w:highlight w:val="none"/>
                <w:shd w:val="clear" w:color="auto" w:fill="auto"/>
              </w:rPr>
              <w:t>7</w:t>
            </w:r>
          </w:p>
        </w:tc>
        <w:tc>
          <w:tcPr>
            <w:tcW w:w="663" w:type="dxa"/>
            <w:shd w:val="clear" w:color="auto" w:fill="auto"/>
            <w:vAlign w:val="center"/>
          </w:tcPr>
          <w:p>
            <w:pPr>
              <w:shd w:val="clear"/>
              <w:spacing w:line="240" w:lineRule="auto"/>
              <w:jc w:val="center"/>
              <w:rPr>
                <w:rFonts w:ascii="宋体" w:hAnsi="宋体" w:eastAsia="宋体" w:cs="宋体"/>
                <w:b/>
                <w:bCs/>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军事技能</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以国防教育为主线，按照教育要面向现代化、面向世界、面向未来，适应我国人才培养的长远战略目标和加强国防后备力量建设的需要，通过军事技能训练，提高学生的思想政治觉悟，激发爱国热情，增强国防观念和国家安全意识；进行爱国主义、集体主义和革命英雄主义教育，增强学生组织纪律观念，培养艰苦奋斗的作风，提高学生的综合素质；从而把学生培养成德、智、体全面发展的合格人才，为建立良好的学风、校风打下坚实的基础。</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主要内容：共同条令教育与训练（共同条令教育、分队的队列动作，现场实操教学）；射击与战术训练（轻武器射击、战术，部分内容如有条件可进行现场教学）；防卫技能与战时防护（格斗基础、战场医疗救护、核生化防护，部分内容如有条件可进行现场实操教学）；战备基础与应用训练（战备规定、紧急集合、行军拉练、野外生存、识图用图、电磁频谱监测，部分内容如有条件可进行现场教学）</w:t>
            </w:r>
          </w:p>
        </w:tc>
        <w:tc>
          <w:tcPr>
            <w:tcW w:w="526" w:type="dxa"/>
            <w:shd w:val="clear" w:color="auto" w:fill="auto"/>
            <w:vAlign w:val="center"/>
          </w:tcPr>
          <w:p>
            <w:pPr>
              <w:shd w:val="clear"/>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112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jc w:val="center"/>
        </w:trPr>
        <w:tc>
          <w:tcPr>
            <w:tcW w:w="575" w:type="dxa"/>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8</w:t>
            </w:r>
          </w:p>
        </w:tc>
        <w:tc>
          <w:tcPr>
            <w:tcW w:w="663" w:type="dxa"/>
            <w:shd w:val="clear" w:color="auto" w:fill="auto"/>
            <w:vAlign w:val="center"/>
          </w:tcPr>
          <w:p>
            <w:pPr>
              <w:shd w:val="clear"/>
              <w:spacing w:line="240" w:lineRule="auto"/>
              <w:jc w:val="center"/>
              <w:rPr>
                <w:rFonts w:ascii="宋体" w:hAnsi="宋体" w:eastAsia="宋体" w:cs="宋体"/>
                <w:b/>
                <w:bCs/>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心理健康教育</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rPr>
              <w:t>通过本课程的学习，使学生明确心理健康的标准及意义，增强自我心理保健意识和心理危机预防意识，掌握并应用心理健康知识，培养自我认知能力、人际沟通能力、自我调节能力，以切实提高心理素质，明确适应自身特点的发展方向，满足社会对高素质技术技能型人才的要求。</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本课程主要内容：阐述自我意识、情绪情感、人际关系、恋爱与性心理、人格心理、生涯规划以及生命教育等。</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rPr>
              <w:t xml:space="preserve">通过理论教学+实践教学的方式，增强课堂的吸引力和感染力，培养学生乐观积极的生活态度和顽强的意志品质，进一步增强学生的自信心和耐挫性。  </w:t>
            </w:r>
          </w:p>
        </w:tc>
        <w:tc>
          <w:tcPr>
            <w:tcW w:w="526" w:type="dxa"/>
            <w:shd w:val="clear" w:color="auto" w:fill="auto"/>
            <w:vAlign w:val="center"/>
          </w:tcPr>
          <w:p>
            <w:pPr>
              <w:shd w:val="clear"/>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6" w:hRule="atLeast"/>
          <w:jc w:val="center"/>
        </w:trPr>
        <w:tc>
          <w:tcPr>
            <w:tcW w:w="575" w:type="dxa"/>
            <w:shd w:val="clear" w:color="auto" w:fill="auto"/>
            <w:vAlign w:val="center"/>
          </w:tcPr>
          <w:p>
            <w:pPr>
              <w:pStyle w:val="10"/>
              <w:shd w:val="clear"/>
              <w:spacing w:before="65" w:line="187" w:lineRule="auto"/>
              <w:jc w:val="center"/>
              <w:rPr>
                <w:rFonts w:ascii="宋体" w:hAnsi="宋体" w:eastAsia="宋体" w:cs="宋体"/>
                <w:sz w:val="18"/>
                <w:szCs w:val="18"/>
                <w:highlight w:val="none"/>
                <w:shd w:val="clear" w:color="auto" w:fill="auto"/>
                <w:lang w:eastAsia="zh-CN"/>
              </w:rPr>
            </w:pPr>
            <w:r>
              <w:rPr>
                <w:rFonts w:hint="eastAsia" w:ascii="宋体" w:hAnsi="宋体" w:eastAsia="宋体" w:cs="宋体"/>
                <w:sz w:val="18"/>
                <w:szCs w:val="18"/>
                <w:highlight w:val="none"/>
                <w:shd w:val="clear" w:color="auto" w:fill="auto"/>
                <w:lang w:eastAsia="zh-CN"/>
              </w:rPr>
              <w:t>9</w:t>
            </w:r>
          </w:p>
        </w:tc>
        <w:tc>
          <w:tcPr>
            <w:tcW w:w="663" w:type="dxa"/>
            <w:shd w:val="clear" w:color="auto" w:fill="auto"/>
            <w:vAlign w:val="center"/>
          </w:tcPr>
          <w:p>
            <w:pPr>
              <w:shd w:val="clear"/>
              <w:spacing w:line="240" w:lineRule="auto"/>
              <w:jc w:val="center"/>
              <w:rPr>
                <w:rFonts w:ascii="宋体" w:hAnsi="宋体" w:eastAsia="宋体" w:cs="宋体"/>
                <w:b/>
                <w:bCs/>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劳动教育</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en-US"/>
              </w:rPr>
              <w:t>通过系列</w:t>
            </w:r>
            <w:r>
              <w:rPr>
                <w:rFonts w:hint="eastAsia" w:ascii="仿宋" w:hAnsi="仿宋" w:eastAsia="仿宋" w:cs="仿宋"/>
                <w:color w:val="auto"/>
                <w:highlight w:val="none"/>
                <w:lang w:val="en-US" w:eastAsia="zh-CN"/>
              </w:rPr>
              <w:t>劳动</w:t>
            </w:r>
            <w:r>
              <w:rPr>
                <w:rFonts w:hint="eastAsia" w:ascii="仿宋" w:hAnsi="仿宋" w:eastAsia="仿宋" w:cs="仿宋"/>
                <w:color w:val="auto"/>
                <w:highlight w:val="none"/>
                <w:lang w:val="en-US" w:eastAsia="en-US"/>
              </w:rPr>
              <w:t>教育活动，使学生深刻理解和形成马克思主义劳动观，树立正确的劳动价值观，掌握必要的劳动技能与习惯，同时培养其创新精神和奉献意识。在此基础上，构建第一课堂与第二课堂相融合的劳动教育体系，强化学生的科学精神、探索能力及吃苦耐劳品质，最终实现学生劳动素养、创新精神、创业能力的全面提升，造就具有乐业创新奉献精神、一技之长及全面发展的高素质人才。</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en-US"/>
              </w:rPr>
              <w:t>劳动理论课旨在全方位培养学生，涵盖劳动观念、法律意识、实践能力和劳动精神。课程</w:t>
            </w:r>
            <w:r>
              <w:rPr>
                <w:rFonts w:hint="eastAsia" w:ascii="仿宋" w:hAnsi="仿宋" w:eastAsia="仿宋" w:cs="仿宋"/>
                <w:color w:val="auto"/>
                <w:highlight w:val="none"/>
                <w:lang w:val="en-US" w:eastAsia="zh-CN"/>
              </w:rPr>
              <w:t>内容</w:t>
            </w:r>
            <w:r>
              <w:rPr>
                <w:rFonts w:hint="eastAsia" w:ascii="仿宋" w:hAnsi="仿宋" w:eastAsia="仿宋" w:cs="仿宋"/>
                <w:color w:val="auto"/>
                <w:highlight w:val="none"/>
                <w:lang w:val="en-US" w:eastAsia="en-US"/>
              </w:rPr>
              <w:t>包括八大专题：劳动观价值观、劳动法教育、日常生活与服务性劳动、劳模精神、工匠精神、职业精神、劳动者权益保护和劳动心理健康。</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en-US"/>
              </w:rPr>
              <w:t>教学要求注重理论与实践相结合，鼓励学生将所学知识应用于实际劳动中，培养其独立思考、解决问题的能力和良好的劳动习惯，为成为社会所需的高素质劳动者奠定坚实基础。</w:t>
            </w:r>
          </w:p>
        </w:tc>
        <w:tc>
          <w:tcPr>
            <w:tcW w:w="526" w:type="dxa"/>
            <w:shd w:val="clear" w:color="auto" w:fill="auto"/>
            <w:vAlign w:val="center"/>
          </w:tcPr>
          <w:p>
            <w:pPr>
              <w:shd w:val="clear"/>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jc w:val="center"/>
        </w:trPr>
        <w:tc>
          <w:tcPr>
            <w:tcW w:w="575" w:type="dxa"/>
            <w:shd w:val="clear" w:color="auto" w:fill="auto"/>
            <w:vAlign w:val="center"/>
          </w:tcPr>
          <w:p>
            <w:pPr>
              <w:pStyle w:val="10"/>
              <w:shd w:val="clear"/>
              <w:spacing w:before="65" w:line="187" w:lineRule="auto"/>
              <w:jc w:val="center"/>
              <w:rPr>
                <w:rFonts w:ascii="宋体" w:hAnsi="宋体" w:eastAsia="宋体" w:cs="宋体"/>
                <w:sz w:val="18"/>
                <w:szCs w:val="18"/>
                <w:highlight w:val="none"/>
                <w:shd w:val="clear" w:color="auto" w:fill="auto"/>
                <w:lang w:eastAsia="zh-CN"/>
              </w:rPr>
            </w:pPr>
            <w:r>
              <w:rPr>
                <w:rFonts w:hint="eastAsia" w:ascii="宋体" w:hAnsi="宋体" w:eastAsia="宋体" w:cs="宋体"/>
                <w:sz w:val="18"/>
                <w:szCs w:val="18"/>
                <w:highlight w:val="none"/>
                <w:shd w:val="clear" w:color="auto" w:fill="auto"/>
                <w:lang w:eastAsia="zh-CN"/>
              </w:rPr>
              <w:t>10</w:t>
            </w:r>
          </w:p>
        </w:tc>
        <w:tc>
          <w:tcPr>
            <w:tcW w:w="663" w:type="dxa"/>
            <w:shd w:val="clear" w:color="auto" w:fill="auto"/>
            <w:vAlign w:val="center"/>
          </w:tcPr>
          <w:p>
            <w:pPr>
              <w:shd w:val="clear"/>
              <w:spacing w:line="240" w:lineRule="auto"/>
              <w:jc w:val="center"/>
              <w:rPr>
                <w:rFonts w:ascii="宋体" w:hAnsi="宋体" w:eastAsia="宋体" w:cs="宋体"/>
                <w:b/>
                <w:bCs/>
                <w:snapToGrid w:val="0"/>
                <w:color w:val="000000"/>
                <w:spacing w:val="-7"/>
                <w:kern w:val="0"/>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国家安全教育</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en-US"/>
              </w:rPr>
              <w:t>国家安全教育的目标是全面培养学生的国家安全意识、法律法规知识、形势分析能力和实践应对技能，旨在激发学生的爱国主义精神，树立维护国家安全的责任感和义务感。</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en-US"/>
              </w:rPr>
              <w:t>主要内容涵盖国家安全的基础知识、法律法规、各类安全领域（如政治、军事、经济等）的具体内容，以及形势分析和实践应对。</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en-US"/>
              </w:rPr>
              <w:t>教学要求深刻理解总体国家安全观，理论联系实际，明确</w:t>
            </w:r>
            <w:r>
              <w:rPr>
                <w:rFonts w:hint="eastAsia" w:ascii="仿宋" w:hAnsi="仿宋" w:eastAsia="仿宋" w:cs="仿宋"/>
                <w:color w:val="auto"/>
                <w:highlight w:val="none"/>
                <w:lang w:val="en-US" w:eastAsia="zh-CN"/>
              </w:rPr>
              <w:t>课程</w:t>
            </w:r>
            <w:r>
              <w:rPr>
                <w:rFonts w:hint="eastAsia" w:ascii="仿宋" w:hAnsi="仿宋" w:eastAsia="仿宋" w:cs="仿宋"/>
                <w:color w:val="auto"/>
                <w:highlight w:val="none"/>
                <w:lang w:val="en-US" w:eastAsia="en-US"/>
              </w:rPr>
              <w:t>实施要求，并确保足够的课时以全面展开教学。通过这一课程，学生将能够更好地理解和应对国家安全挑战，为国家的稳定和发展贡献力量。</w:t>
            </w:r>
          </w:p>
        </w:tc>
        <w:tc>
          <w:tcPr>
            <w:tcW w:w="526" w:type="dxa"/>
            <w:shd w:val="clear" w:color="auto" w:fill="auto"/>
            <w:vAlign w:val="center"/>
          </w:tcPr>
          <w:p>
            <w:pPr>
              <w:shd w:val="clear"/>
              <w:jc w:val="center"/>
              <w:rPr>
                <w:rFonts w:ascii="宋体" w:hAnsi="宋体" w:eastAsia="宋体" w:cs="宋体"/>
                <w:sz w:val="18"/>
                <w:szCs w:val="18"/>
                <w:highlight w:val="none"/>
                <w:shd w:val="clear" w:color="auto" w:fill="auto"/>
                <w:lang w:eastAsia="en-US"/>
              </w:rPr>
            </w:pPr>
            <w:r>
              <w:rPr>
                <w:rFonts w:hint="eastAsia" w:ascii="宋体" w:hAnsi="宋体" w:eastAsia="宋体" w:cs="宋体"/>
                <w:sz w:val="18"/>
                <w:szCs w:val="18"/>
                <w:highlight w:val="none"/>
                <w:shd w:val="clear" w:color="auto" w:fill="auto"/>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jc w:val="center"/>
        </w:trPr>
        <w:tc>
          <w:tcPr>
            <w:tcW w:w="575" w:type="dxa"/>
            <w:shd w:val="clear" w:color="auto" w:fill="auto"/>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11</w:t>
            </w:r>
          </w:p>
        </w:tc>
        <w:tc>
          <w:tcPr>
            <w:tcW w:w="663" w:type="dxa"/>
            <w:shd w:val="clear" w:color="auto" w:fill="auto"/>
            <w:vAlign w:val="center"/>
          </w:tcPr>
          <w:p>
            <w:pPr>
              <w:shd w:val="clear"/>
              <w:spacing w:line="240" w:lineRule="auto"/>
              <w:jc w:val="center"/>
              <w:rPr>
                <w:rFonts w:ascii="宋体" w:hAnsi="宋体" w:eastAsia="宋体" w:cs="宋体"/>
                <w:b/>
                <w:bCs/>
                <w:snapToGrid w:val="0"/>
                <w:color w:val="000000"/>
                <w:spacing w:val="-7"/>
                <w:kern w:val="0"/>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大学生职业发展与就业指导</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rPr>
              <w:t>通过对大学生进行科学有效的职业生涯规划指导，激发大学生职业生涯发展的自主意识，树立正确的就业观，促使大学生理性地规划自身未来的发展，并努力在学习过程中自觉地提升就业能力和生涯管理能力，实现个体与职业的匹配，体现个体价值的最大化。</w:t>
            </w:r>
          </w:p>
        </w:tc>
        <w:tc>
          <w:tcPr>
            <w:tcW w:w="4751" w:type="dxa"/>
            <w:shd w:val="clear" w:color="auto" w:fill="auto"/>
            <w:vAlign w:val="top"/>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rPr>
              <w:t>主要内容：按照教育部下发的《大学生职业发展与就业指导课程教学要求》的文件精神，内容基本上涵盖大学生职业生涯规划、求职准备、就业创业政策、报到流程、职业发展和创新创业教育等模块。通过理论教学+实践教学的方式，使学生做好适应社会、融入社会和就业、创业的准备。</w:t>
            </w:r>
          </w:p>
        </w:tc>
        <w:tc>
          <w:tcPr>
            <w:tcW w:w="526" w:type="dxa"/>
            <w:shd w:val="clear" w:color="auto" w:fill="auto"/>
            <w:vAlign w:val="center"/>
          </w:tcPr>
          <w:p>
            <w:pPr>
              <w:shd w:val="clear"/>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6" w:hRule="atLeast"/>
          <w:jc w:val="center"/>
        </w:trPr>
        <w:tc>
          <w:tcPr>
            <w:tcW w:w="575" w:type="dxa"/>
            <w:shd w:val="clear" w:color="auto" w:fill="auto"/>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12</w:t>
            </w:r>
          </w:p>
        </w:tc>
        <w:tc>
          <w:tcPr>
            <w:tcW w:w="663" w:type="dxa"/>
            <w:shd w:val="clear" w:color="auto" w:fill="auto"/>
            <w:vAlign w:val="center"/>
          </w:tcPr>
          <w:p>
            <w:pPr>
              <w:shd w:val="clear"/>
              <w:spacing w:line="240" w:lineRule="auto"/>
              <w:jc w:val="center"/>
              <w:rPr>
                <w:rFonts w:ascii="宋体" w:hAnsi="宋体" w:eastAsia="宋体" w:cs="宋体"/>
                <w:b/>
                <w:bCs/>
                <w:snapToGrid w:val="0"/>
                <w:color w:val="000000"/>
                <w:spacing w:val="-7"/>
                <w:kern w:val="0"/>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创新创业教育</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rPr>
              <w:t>通过本课程的学习，使学生掌握开展创业活动所需要的基本知识，认知创业的基本内涵和创业活动的特殊性，辨证地认识和分析创业者、创业机会、创业资源、创业计划和创业项目。使学生具备必要的创业能力。掌握创业资源整合与创业计划撰写的方法,熟悉新企业的开办流程与管理，提高创办和管理企业的综合素质和能力。使学生树立科学的创业观，主动适应国家经济社会发展和人的全面发展需求。</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主要内容：介绍创新创业的基本概念和关系、创新创业类型、大学生创新创业现状和大学生创新创业教育的理念、意义；重点阐述如何激发创新意识、锻炼创新思维、掌握创新方法、提高创新能力、培育创新精神；阐明创业素质、创业团队、创业环境和政策、创业机会、创业资源、创业风险、创业策划书、创业资金、创办新企业、创业生存和企业成长。通过理论教学+实践教学的方式，使学生自觉遵循创业规律，积极投身创新创业实践。</w:t>
            </w:r>
          </w:p>
          <w:p>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ascii="宋体" w:hAnsi="宋体" w:eastAsia="宋体" w:cs="宋体"/>
                <w:sz w:val="18"/>
                <w:szCs w:val="18"/>
                <w:highlight w:val="none"/>
                <w:shd w:val="clear" w:color="auto" w:fill="auto"/>
              </w:rPr>
            </w:pPr>
          </w:p>
        </w:tc>
        <w:tc>
          <w:tcPr>
            <w:tcW w:w="526" w:type="dxa"/>
            <w:shd w:val="clear" w:color="auto" w:fill="auto"/>
            <w:vAlign w:val="center"/>
          </w:tcPr>
          <w:p>
            <w:pPr>
              <w:shd w:val="clear"/>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0" w:hRule="atLeast"/>
          <w:jc w:val="center"/>
        </w:trPr>
        <w:tc>
          <w:tcPr>
            <w:tcW w:w="575" w:type="dxa"/>
            <w:shd w:val="clear" w:color="auto" w:fill="auto"/>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13</w:t>
            </w:r>
          </w:p>
        </w:tc>
        <w:tc>
          <w:tcPr>
            <w:tcW w:w="663" w:type="dxa"/>
            <w:shd w:val="clear" w:color="auto" w:fill="auto"/>
            <w:vAlign w:val="center"/>
          </w:tcPr>
          <w:p>
            <w:pPr>
              <w:shd w:val="clear"/>
              <w:spacing w:line="240" w:lineRule="auto"/>
              <w:jc w:val="center"/>
              <w:rPr>
                <w:rFonts w:ascii="宋体" w:hAnsi="宋体" w:eastAsia="宋体" w:cs="宋体"/>
                <w:b/>
                <w:bCs/>
                <w:snapToGrid w:val="0"/>
                <w:color w:val="000000"/>
                <w:spacing w:val="-7"/>
                <w:kern w:val="0"/>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信息技术</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通过本课程的学习，使学生掌握WPS Office中文字、电子表格、演示文稿制作的核心技能，熟悉信息高效检索方法，了解人工智能等新一代信息技术的基本概念与技术特点，培养学生的信息化办公能力和技术迁移能力，增强学生的信息意识和创新意识，帮助学生树立正确的信息社会价值观与责任感，为其职业发展、终身学习和服务社会奠定基础。</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本课程采用项目化教学法，以WPS Office为核心，融合人工智能等前沿技术辅助信息化操作。教学内容包括文档处理、电子表格处理、演示文稿制作、信息检索及新一代信息技术五大模块。通过“理论解析+情境化实操”双轨并行，打造“教、学、做”三位一体的教学模式，聚焦真实场景中的技术迁移能力培养，同时融入职业道德与伦理教育，形成技术应用与职业责任并重的综合素养。</w:t>
            </w:r>
          </w:p>
          <w:p>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ascii="宋体" w:hAnsi="宋体" w:eastAsia="宋体" w:cs="宋体"/>
                <w:sz w:val="18"/>
                <w:szCs w:val="18"/>
                <w:highlight w:val="none"/>
                <w:shd w:val="clear" w:color="auto" w:fill="auto"/>
              </w:rPr>
            </w:pPr>
          </w:p>
        </w:tc>
        <w:tc>
          <w:tcPr>
            <w:tcW w:w="526" w:type="dxa"/>
            <w:shd w:val="clear" w:color="auto" w:fill="auto"/>
            <w:vAlign w:val="center"/>
          </w:tcPr>
          <w:p>
            <w:pPr>
              <w:shd w:val="clear"/>
              <w:jc w:val="center"/>
              <w:rPr>
                <w:rFonts w:hint="default" w:ascii="宋体" w:hAnsi="宋体" w:eastAsia="宋体" w:cs="宋体"/>
                <w:sz w:val="18"/>
                <w:szCs w:val="18"/>
                <w:highlight w:val="none"/>
                <w:shd w:val="clear" w:color="auto" w:fill="auto"/>
                <w:lang w:val="en-US" w:eastAsia="zh-CN"/>
              </w:rPr>
            </w:pPr>
            <w:r>
              <w:rPr>
                <w:rFonts w:hint="eastAsia" w:ascii="宋体" w:hAnsi="宋体" w:eastAsia="宋体" w:cs="宋体"/>
                <w:sz w:val="18"/>
                <w:szCs w:val="18"/>
                <w:highlight w:val="none"/>
                <w:shd w:val="clear" w:color="auto" w:fill="auto"/>
                <w:lang w:val="en-US" w:eastAsia="zh-CN"/>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8" w:hRule="atLeast"/>
          <w:jc w:val="center"/>
        </w:trPr>
        <w:tc>
          <w:tcPr>
            <w:tcW w:w="575" w:type="dxa"/>
            <w:shd w:val="clear" w:color="auto" w:fill="auto"/>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14</w:t>
            </w:r>
          </w:p>
        </w:tc>
        <w:tc>
          <w:tcPr>
            <w:tcW w:w="663" w:type="dxa"/>
            <w:shd w:val="clear" w:color="auto" w:fill="auto"/>
            <w:vAlign w:val="center"/>
          </w:tcPr>
          <w:p>
            <w:pPr>
              <w:shd w:val="clear"/>
              <w:spacing w:line="240" w:lineRule="auto"/>
              <w:jc w:val="center"/>
              <w:rPr>
                <w:rFonts w:ascii="宋体" w:hAnsi="宋体" w:eastAsia="宋体" w:cs="宋体"/>
                <w:b/>
                <w:bCs/>
                <w:sz w:val="18"/>
                <w:szCs w:val="18"/>
                <w:highlight w:val="none"/>
                <w:shd w:val="clear" w:color="auto" w:fill="auto"/>
              </w:rPr>
            </w:pPr>
            <w:r>
              <w:rPr>
                <w:rFonts w:hint="eastAsia" w:ascii="宋体" w:hAnsi="宋体" w:eastAsia="宋体" w:cs="宋体"/>
                <w:b/>
                <w:bCs/>
                <w:snapToGrid w:val="0"/>
                <w:color w:val="000000"/>
                <w:spacing w:val="-7"/>
                <w:kern w:val="0"/>
                <w:sz w:val="18"/>
                <w:szCs w:val="18"/>
                <w:highlight w:val="none"/>
                <w:shd w:val="clear" w:color="auto" w:fill="auto"/>
              </w:rPr>
              <w:t>公共英语</w:t>
            </w:r>
          </w:p>
        </w:tc>
        <w:tc>
          <w:tcPr>
            <w:tcW w:w="352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通过本课程学习，学生能够达到职场涉外沟通、多元文化交流、语言思维提升以及自主学习完善四项学科核心素养的发展目标，培养具有中国情怀、国际视野，能够在日常生活和职场中用英语进行有效沟通的高素质技术技能人才。</w:t>
            </w:r>
          </w:p>
        </w:tc>
        <w:tc>
          <w:tcPr>
            <w:tcW w:w="4751"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主要内容由主题类别、语篇类型、语言知识、文化知识、职业英语技能和语言学习策略六要素组成。</w:t>
            </w:r>
          </w:p>
          <w:p>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ascii="宋体" w:hAnsi="宋体" w:eastAsia="宋体" w:cs="宋体"/>
                <w:sz w:val="18"/>
                <w:szCs w:val="18"/>
                <w:highlight w:val="none"/>
                <w:shd w:val="clear" w:color="auto" w:fill="auto"/>
              </w:rPr>
            </w:pPr>
            <w:r>
              <w:rPr>
                <w:rFonts w:hint="eastAsia" w:ascii="仿宋" w:hAnsi="仿宋" w:eastAsia="仿宋" w:cs="仿宋"/>
                <w:color w:val="auto"/>
                <w:highlight w:val="none"/>
                <w:lang w:val="en-US" w:eastAsia="zh-CN"/>
              </w:rPr>
              <w:t>教学要求坚持立德树人，发挥英语课程的育人功能；落实核心素养，贯穿英语课程教学全过程；突出职业特色，加强语言实践应用能力培养；提升信息素养，探索信息化背景下教与学方式的转变；尊重个体差异，促进学生全面与个性化发展。</w:t>
            </w:r>
          </w:p>
        </w:tc>
        <w:tc>
          <w:tcPr>
            <w:tcW w:w="526" w:type="dxa"/>
            <w:shd w:val="clear" w:color="auto" w:fill="auto"/>
            <w:vAlign w:val="center"/>
          </w:tcPr>
          <w:p>
            <w:pPr>
              <w:shd w:val="clear"/>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8" w:hRule="atLeast"/>
          <w:jc w:val="center"/>
        </w:trPr>
        <w:tc>
          <w:tcPr>
            <w:tcW w:w="575" w:type="dxa"/>
            <w:shd w:val="clear" w:color="auto" w:fill="auto"/>
            <w:vAlign w:val="center"/>
          </w:tcPr>
          <w:p>
            <w:pPr>
              <w:adjustRightInd w:val="0"/>
              <w:snapToGrid w:val="0"/>
              <w:spacing w:line="240" w:lineRule="exact"/>
              <w:jc w:val="center"/>
              <w:rPr>
                <w:rFonts w:hint="eastAsia" w:ascii="宋体" w:hAnsi="宋体" w:eastAsia="宋体" w:cs="宋体"/>
                <w:sz w:val="18"/>
                <w:szCs w:val="18"/>
                <w:highlight w:val="none"/>
                <w:shd w:val="clear" w:color="auto" w:fill="auto"/>
              </w:rPr>
            </w:pPr>
            <w:r>
              <w:rPr>
                <w:rFonts w:hint="eastAsia" w:ascii="宋体" w:hAnsi="宋体" w:eastAsia="宋体" w:cs="宋体"/>
                <w:sz w:val="18"/>
                <w:szCs w:val="18"/>
                <w:lang w:val="en-US" w:eastAsia="zh-CN"/>
              </w:rPr>
              <w:t>15</w:t>
            </w:r>
          </w:p>
        </w:tc>
        <w:tc>
          <w:tcPr>
            <w:tcW w:w="663" w:type="dxa"/>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napToGrid w:val="0"/>
                <w:color w:val="000000"/>
                <w:spacing w:val="-7"/>
                <w:kern w:val="0"/>
                <w:sz w:val="18"/>
                <w:szCs w:val="18"/>
                <w:highlight w:val="none"/>
                <w:shd w:val="clear" w:color="auto" w:fill="auto"/>
              </w:rPr>
            </w:pPr>
            <w:r>
              <w:rPr>
                <w:rFonts w:hint="eastAsia" w:ascii="仿宋" w:hAnsi="仿宋" w:eastAsia="仿宋" w:cs="仿宋"/>
                <w:b/>
                <w:bCs/>
                <w:lang w:val="en-US" w:eastAsia="zh-CN"/>
              </w:rPr>
              <w:t>人工智能通识课</w:t>
            </w:r>
          </w:p>
        </w:tc>
        <w:tc>
          <w:tcPr>
            <w:tcW w:w="3523" w:type="dxa"/>
            <w:shd w:val="clear" w:color="auto" w:fill="auto"/>
            <w:vAlign w:val="center"/>
          </w:tcPr>
          <w:p>
            <w:pPr>
              <w:jc w:val="left"/>
              <w:rPr>
                <w:rFonts w:hint="eastAsia" w:ascii="仿宋" w:hAnsi="仿宋" w:eastAsia="仿宋" w:cs="仿宋"/>
                <w:color w:val="auto"/>
                <w:highlight w:val="none"/>
                <w:lang w:val="en-US" w:eastAsia="zh-CN"/>
              </w:rPr>
            </w:pPr>
            <w:r>
              <w:rPr>
                <w:rFonts w:hint="eastAsia" w:ascii="宋体" w:hAnsi="宋体" w:eastAsia="宋体" w:cs="宋体"/>
                <w:sz w:val="18"/>
                <w:szCs w:val="18"/>
                <w:lang w:val="en-US" w:eastAsia="en-US"/>
              </w:rPr>
              <w:t>通过本课程学习，使学生系统掌握人工智能的基本概念、技术原理及应用场景，理解人工智能在图像、语音、文本、多模态等领域的应用方法与特点；培养学生运用人工智能技术进行数据分析、文档生成、表格分析及汇报制作的实践能力；引导学生树立正确的人工智能伦理观念，增强数据安全意识和科学素养；培养学生的创新意识和问题解决能力，使其能够在学习、</w:t>
            </w:r>
            <w:r>
              <w:rPr>
                <w:rFonts w:hint="eastAsia" w:ascii="宋体" w:hAnsi="宋体" w:eastAsia="宋体" w:cs="宋体"/>
                <w:sz w:val="18"/>
                <w:szCs w:val="18"/>
                <w:lang w:val="en-US" w:eastAsia="zh-CN"/>
              </w:rPr>
              <w:t>生活</w:t>
            </w:r>
            <w:r>
              <w:rPr>
                <w:rFonts w:hint="eastAsia" w:ascii="宋体" w:hAnsi="宋体" w:eastAsia="宋体" w:cs="宋体"/>
                <w:sz w:val="18"/>
                <w:szCs w:val="18"/>
                <w:lang w:val="en-US" w:eastAsia="en-US"/>
              </w:rPr>
              <w:t>和职业实践中合理应用人工智能技术，服务社会发展与国家需求。</w:t>
            </w:r>
          </w:p>
        </w:tc>
        <w:tc>
          <w:tcPr>
            <w:tcW w:w="4751" w:type="dxa"/>
            <w:shd w:val="clear" w:color="auto" w:fill="auto"/>
            <w:vAlign w:val="center"/>
          </w:tcPr>
          <w:p>
            <w:pPr>
              <w:jc w:val="left"/>
              <w:rPr>
                <w:rFonts w:hint="eastAsia" w:ascii="宋体" w:hAnsi="宋体" w:eastAsia="宋体" w:cs="宋体"/>
                <w:sz w:val="18"/>
                <w:szCs w:val="18"/>
                <w:lang w:val="en-US" w:eastAsia="en-US"/>
              </w:rPr>
            </w:pPr>
            <w:r>
              <w:rPr>
                <w:rFonts w:hint="eastAsia" w:ascii="宋体" w:hAnsi="宋体" w:eastAsia="宋体" w:cs="宋体"/>
                <w:sz w:val="18"/>
                <w:szCs w:val="18"/>
                <w:lang w:val="en-US" w:eastAsia="en-US"/>
              </w:rPr>
              <w:t>课程主要内容涵盖人工智能基础知识、图像与视频处理技术、语音信号处理技术及其应用、自然语言处理技术、多模态技术、人工智能伦理与法规、安全防护与数据安全、具身智能、智能体技术、数字孪生技术，以及大模型提示词工程与应用</w:t>
            </w:r>
            <w:r>
              <w:rPr>
                <w:rFonts w:hint="eastAsia" w:ascii="宋体" w:hAnsi="宋体" w:eastAsia="宋体" w:cs="宋体"/>
                <w:sz w:val="18"/>
                <w:szCs w:val="18"/>
                <w:lang w:val="en-US" w:eastAsia="zh-CN"/>
              </w:rPr>
              <w:t>包括</w:t>
            </w:r>
            <w:r>
              <w:rPr>
                <w:rFonts w:hint="eastAsia" w:ascii="宋体" w:hAnsi="宋体" w:eastAsia="宋体" w:cs="宋体"/>
                <w:sz w:val="18"/>
                <w:szCs w:val="18"/>
                <w:lang w:val="en-US" w:eastAsia="en-US"/>
              </w:rPr>
              <w:t>文档生成、表格分析、汇报制作。</w:t>
            </w:r>
          </w:p>
          <w:p>
            <w:pPr>
              <w:jc w:val="left"/>
              <w:rPr>
                <w:rFonts w:hint="eastAsia" w:ascii="仿宋" w:hAnsi="仿宋" w:eastAsia="仿宋" w:cs="仿宋"/>
                <w:color w:val="auto"/>
                <w:highlight w:val="none"/>
                <w:lang w:val="en-US" w:eastAsia="zh-CN"/>
              </w:rPr>
            </w:pPr>
            <w:r>
              <w:rPr>
                <w:rFonts w:hint="eastAsia" w:ascii="宋体" w:hAnsi="宋体" w:eastAsia="宋体" w:cs="宋体"/>
                <w:sz w:val="18"/>
                <w:szCs w:val="18"/>
                <w:lang w:val="en-US" w:eastAsia="en-US"/>
              </w:rPr>
              <w:t>教学要求注重理论与实践相结合，通过案例分析、视频演示、分组讨论、实验操作及大模型实践等方式加深学生对人工智能理论知识的理解；引导学生自主学习，培养其独立分析问题、解决问题和创新思维的能力；强化人工智能伦理、安全和数据保护意识，使学生能够在技术应用过程中遵循法律法规、尊重隐私权、考虑社会影响；同时注重实践能力培养，通过大模型生成文档、表格和汇报等操作训练学生动手能力和协作能力，以全面提升学生的综合素质。</w:t>
            </w:r>
          </w:p>
        </w:tc>
        <w:tc>
          <w:tcPr>
            <w:tcW w:w="526" w:type="dxa"/>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18"/>
                <w:szCs w:val="18"/>
                <w:highlight w:val="none"/>
                <w:shd w:val="clear" w:color="auto" w:fill="auto"/>
              </w:rPr>
            </w:pPr>
            <w:r>
              <w:rPr>
                <w:rFonts w:hint="eastAsia" w:ascii="宋体" w:hAnsi="宋体" w:eastAsia="宋体" w:cs="宋体"/>
                <w:sz w:val="18"/>
                <w:szCs w:val="18"/>
                <w:lang w:val="en-US" w:eastAsia="zh-CN"/>
              </w:rPr>
              <w:t>16</w:t>
            </w:r>
          </w:p>
        </w:tc>
      </w:tr>
    </w:tbl>
    <w:p>
      <w:pPr>
        <w:pStyle w:val="4"/>
        <w:widowControl/>
        <w:numPr>
          <w:ilvl w:val="0"/>
          <w:numId w:val="1"/>
        </w:numPr>
        <w:shd w:val="clear" w:color="auto"/>
        <w:adjustRightInd w:val="0"/>
        <w:snapToGrid w:val="0"/>
        <w:spacing w:beforeAutospacing="0" w:afterAutospacing="0" w:line="360" w:lineRule="auto"/>
        <w:ind w:firstLine="560" w:firstLineChars="200"/>
        <w:rPr>
          <w:rFonts w:ascii="Times New Roman" w:hAnsi="Times New Roman" w:eastAsia="仿宋"/>
          <w:color w:val="191919"/>
          <w:sz w:val="28"/>
          <w:szCs w:val="28"/>
          <w:highlight w:val="none"/>
          <w:shd w:val="clear" w:color="auto" w:fill="auto"/>
        </w:rPr>
      </w:pPr>
      <w:r>
        <w:rPr>
          <w:rFonts w:hint="eastAsia" w:ascii="Times New Roman" w:hAnsi="Times New Roman" w:eastAsia="仿宋"/>
          <w:color w:val="191919"/>
          <w:sz w:val="28"/>
          <w:szCs w:val="28"/>
          <w:highlight w:val="none"/>
          <w:shd w:val="clear" w:color="auto" w:fill="auto"/>
        </w:rPr>
        <w:t>公共基础限定选修课</w:t>
      </w:r>
    </w:p>
    <w:p>
      <w:pPr>
        <w:pStyle w:val="4"/>
        <w:widowControl/>
        <w:shd w:val="clear" w:color="auto"/>
        <w:adjustRightInd w:val="0"/>
        <w:snapToGrid w:val="0"/>
        <w:spacing w:beforeAutospacing="0" w:afterAutospacing="0" w:line="360" w:lineRule="auto"/>
        <w:ind w:firstLine="422" w:firstLineChars="200"/>
        <w:jc w:val="center"/>
        <w:rPr>
          <w:rFonts w:ascii="仿宋" w:hAnsi="仿宋" w:eastAsia="仿宋" w:cs="宋体"/>
          <w:b/>
          <w:sz w:val="21"/>
          <w:szCs w:val="21"/>
          <w:highlight w:val="none"/>
          <w:shd w:val="clear" w:color="auto" w:fill="auto"/>
        </w:rPr>
      </w:pPr>
      <w:r>
        <w:rPr>
          <w:rFonts w:hint="eastAsia" w:ascii="仿宋" w:hAnsi="仿宋" w:eastAsia="仿宋" w:cs="宋体"/>
          <w:b/>
          <w:sz w:val="21"/>
          <w:szCs w:val="21"/>
          <w:highlight w:val="none"/>
          <w:shd w:val="clear" w:color="auto" w:fill="auto"/>
        </w:rPr>
        <w:t>表2 公共基础限定选修课程说明表</w:t>
      </w:r>
    </w:p>
    <w:tbl>
      <w:tblPr>
        <w:tblStyle w:val="5"/>
        <w:tblW w:w="5602" w:type="pct"/>
        <w:tblInd w:w="-476"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36" w:type="dxa"/>
          <w:left w:w="36" w:type="dxa"/>
          <w:bottom w:w="36" w:type="dxa"/>
          <w:right w:w="36" w:type="dxa"/>
        </w:tblCellMar>
      </w:tblPr>
      <w:tblGrid>
        <w:gridCol w:w="549"/>
        <w:gridCol w:w="594"/>
        <w:gridCol w:w="3865"/>
        <w:gridCol w:w="4736"/>
        <w:gridCol w:w="500"/>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552" w:hRule="atLeast"/>
        </w:trPr>
        <w:tc>
          <w:tcPr>
            <w:tcW w:w="267" w:type="pct"/>
            <w:vAlign w:val="center"/>
          </w:tcPr>
          <w:p>
            <w:pPr>
              <w:shd w:val="clear"/>
              <w:adjustRightInd w:val="0"/>
              <w:snapToGrid w:val="0"/>
              <w:jc w:val="center"/>
              <w:rPr>
                <w:rFonts w:ascii="宋体" w:hAnsi="宋体" w:eastAsia="宋体" w:cs="宋体"/>
                <w:b/>
                <w:color w:val="000000"/>
                <w:sz w:val="18"/>
                <w:szCs w:val="18"/>
                <w:highlight w:val="none"/>
                <w:shd w:val="clear" w:color="auto" w:fill="auto"/>
              </w:rPr>
            </w:pPr>
            <w:r>
              <w:rPr>
                <w:rFonts w:hint="eastAsia" w:ascii="宋体" w:hAnsi="宋体" w:eastAsia="宋体" w:cs="宋体"/>
                <w:b/>
                <w:color w:val="000000"/>
                <w:sz w:val="18"/>
                <w:szCs w:val="18"/>
                <w:highlight w:val="none"/>
                <w:shd w:val="clear" w:color="auto" w:fill="auto"/>
              </w:rPr>
              <w:t>序号</w:t>
            </w:r>
          </w:p>
        </w:tc>
        <w:tc>
          <w:tcPr>
            <w:tcW w:w="289" w:type="pct"/>
            <w:vAlign w:val="center"/>
          </w:tcPr>
          <w:p>
            <w:pPr>
              <w:shd w:val="clear"/>
              <w:adjustRightInd w:val="0"/>
              <w:snapToGrid w:val="0"/>
              <w:jc w:val="center"/>
              <w:rPr>
                <w:rFonts w:ascii="宋体" w:hAnsi="宋体" w:eastAsia="宋体" w:cs="宋体"/>
                <w:b/>
                <w:color w:val="000000"/>
                <w:sz w:val="18"/>
                <w:szCs w:val="18"/>
                <w:highlight w:val="none"/>
                <w:shd w:val="clear" w:color="auto" w:fill="auto"/>
              </w:rPr>
            </w:pPr>
            <w:r>
              <w:rPr>
                <w:rFonts w:hint="eastAsia" w:ascii="宋体" w:hAnsi="宋体" w:eastAsia="宋体" w:cs="宋体"/>
                <w:b/>
                <w:color w:val="000000"/>
                <w:sz w:val="18"/>
                <w:szCs w:val="18"/>
                <w:highlight w:val="none"/>
                <w:shd w:val="clear" w:color="auto" w:fill="auto"/>
              </w:rPr>
              <w:t>名称</w:t>
            </w:r>
          </w:p>
        </w:tc>
        <w:tc>
          <w:tcPr>
            <w:tcW w:w="1886" w:type="pct"/>
            <w:vAlign w:val="center"/>
          </w:tcPr>
          <w:p>
            <w:pPr>
              <w:shd w:val="clear"/>
              <w:adjustRightInd w:val="0"/>
              <w:snapToGrid w:val="0"/>
              <w:ind w:firstLine="354" w:firstLineChars="196"/>
              <w:jc w:val="center"/>
              <w:rPr>
                <w:rFonts w:ascii="宋体" w:hAnsi="宋体" w:eastAsia="宋体" w:cs="宋体"/>
                <w:b/>
                <w:color w:val="000000"/>
                <w:sz w:val="18"/>
                <w:szCs w:val="18"/>
                <w:highlight w:val="none"/>
                <w:shd w:val="clear" w:color="auto" w:fill="auto"/>
              </w:rPr>
            </w:pPr>
            <w:r>
              <w:rPr>
                <w:rFonts w:hint="eastAsia" w:ascii="宋体" w:hAnsi="宋体" w:eastAsia="宋体" w:cs="宋体"/>
                <w:b/>
                <w:color w:val="000000"/>
                <w:sz w:val="18"/>
                <w:szCs w:val="18"/>
                <w:highlight w:val="none"/>
                <w:shd w:val="clear" w:color="auto" w:fill="auto"/>
              </w:rPr>
              <w:t>教学目标</w:t>
            </w:r>
          </w:p>
        </w:tc>
        <w:tc>
          <w:tcPr>
            <w:tcW w:w="2311" w:type="pct"/>
            <w:vAlign w:val="center"/>
          </w:tcPr>
          <w:p>
            <w:pPr>
              <w:pStyle w:val="12"/>
              <w:widowControl w:val="0"/>
              <w:shd w:val="clear"/>
              <w:adjustRightInd w:val="0"/>
              <w:snapToGrid w:val="0"/>
              <w:spacing w:line="240" w:lineRule="auto"/>
              <w:jc w:val="center"/>
              <w:rPr>
                <w:rFonts w:eastAsia="宋体"/>
                <w:b/>
                <w:bCs/>
                <w:color w:val="000000"/>
                <w:kern w:val="2"/>
                <w:sz w:val="18"/>
                <w:szCs w:val="18"/>
                <w:highlight w:val="none"/>
                <w:shd w:val="clear" w:color="auto" w:fill="auto"/>
              </w:rPr>
            </w:pPr>
            <w:r>
              <w:rPr>
                <w:rFonts w:hint="eastAsia" w:eastAsia="宋体"/>
                <w:b/>
                <w:bCs/>
                <w:color w:val="000000"/>
                <w:kern w:val="2"/>
                <w:sz w:val="18"/>
                <w:szCs w:val="18"/>
                <w:highlight w:val="none"/>
                <w:shd w:val="clear" w:color="auto" w:fill="auto"/>
              </w:rPr>
              <w:t>主要内容和教学要求</w:t>
            </w:r>
          </w:p>
        </w:tc>
        <w:tc>
          <w:tcPr>
            <w:tcW w:w="244" w:type="pct"/>
            <w:vAlign w:val="center"/>
          </w:tcPr>
          <w:p>
            <w:pPr>
              <w:shd w:val="clear"/>
              <w:adjustRightInd w:val="0"/>
              <w:snapToGrid w:val="0"/>
              <w:jc w:val="center"/>
              <w:rPr>
                <w:rFonts w:ascii="宋体" w:hAnsi="宋体" w:eastAsia="宋体" w:cs="宋体"/>
                <w:b/>
                <w:color w:val="000000"/>
                <w:sz w:val="18"/>
                <w:szCs w:val="18"/>
                <w:highlight w:val="none"/>
                <w:shd w:val="clear" w:color="auto" w:fill="auto"/>
              </w:rPr>
            </w:pPr>
            <w:r>
              <w:rPr>
                <w:rFonts w:hint="eastAsia" w:ascii="宋体" w:hAnsi="宋体" w:eastAsia="宋体" w:cs="宋体"/>
                <w:b/>
                <w:color w:val="000000"/>
                <w:sz w:val="18"/>
                <w:szCs w:val="18"/>
                <w:highlight w:val="none"/>
                <w:shd w:val="clear" w:color="auto" w:fill="auto"/>
              </w:rPr>
              <w:t>学时</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294" w:hRule="atLeast"/>
        </w:trPr>
        <w:tc>
          <w:tcPr>
            <w:tcW w:w="267" w:type="pct"/>
            <w:shd w:val="clear" w:color="auto" w:fill="auto"/>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1</w:t>
            </w:r>
          </w:p>
        </w:tc>
        <w:tc>
          <w:tcPr>
            <w:tcW w:w="289" w:type="pct"/>
            <w:shd w:val="clear" w:color="auto" w:fill="auto"/>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b/>
                <w:bCs/>
                <w:sz w:val="18"/>
                <w:szCs w:val="18"/>
                <w:highlight w:val="none"/>
                <w:shd w:val="clear" w:color="auto" w:fill="auto"/>
              </w:rPr>
              <w:t>大学语文</w:t>
            </w:r>
          </w:p>
        </w:tc>
        <w:tc>
          <w:tcPr>
            <w:tcW w:w="1886" w:type="pct"/>
            <w:shd w:val="clear" w:color="auto" w:fill="auto"/>
            <w:vAlign w:val="center"/>
          </w:tcPr>
          <w:p>
            <w:pPr>
              <w:keepNext w:val="0"/>
              <w:keepLines w:val="0"/>
              <w:pageBreakBefore w:val="0"/>
              <w:widowControl/>
              <w:suppressLineNumbers w:val="0"/>
              <w:shd w:val="clear"/>
              <w:kinsoku/>
              <w:wordWrap/>
              <w:overflowPunct/>
              <w:topLinePunct w:val="0"/>
              <w:autoSpaceDE/>
              <w:autoSpaceDN/>
              <w:bidi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kern w:val="0"/>
                <w:sz w:val="21"/>
                <w:szCs w:val="21"/>
                <w:highlight w:val="none"/>
                <w:lang w:val="en-US" w:eastAsia="zh-CN" w:bidi="ar"/>
              </w:rPr>
              <w:t>以祖国的语言文字为载体，以优秀的文化遗产为精髓，学习古今中外的名家名作，了解文化的多样性、丰富性；阅读理解中国古代文学作品、中国现当代文学作品和外国文学作品，难度适中的文言文，结识解释常见的字词和语言现象；分析文章的思想和写作手法，具备一定的文学鉴赏水平和作品分析能力。</w:t>
            </w:r>
          </w:p>
        </w:tc>
        <w:tc>
          <w:tcPr>
            <w:tcW w:w="2311" w:type="pct"/>
            <w:shd w:val="clear" w:color="auto" w:fill="auto"/>
            <w:vAlign w:val="center"/>
          </w:tcPr>
          <w:p>
            <w:pPr>
              <w:keepNext w:val="0"/>
              <w:keepLines w:val="0"/>
              <w:pageBreakBefore w:val="0"/>
              <w:widowControl/>
              <w:suppressLineNumbers w:val="0"/>
              <w:shd w:val="clear"/>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让学生通过阅读与欣赏精选的古今中外优秀文学作品以及学习应用写作的相关知识，提高语文综合能力，具备良好的口头表达能力和应用写作的能力。学生能够理解与吸收中外文化的精髓与内涵，了解并继承中华民族的优秀文化传统，培养高尚的思想品质和道德情操。提高自身的文化修养，健全人格，以成为高素质的技术技能型人才。</w:t>
            </w:r>
          </w:p>
          <w:p>
            <w:pPr>
              <w:keepNext w:val="0"/>
              <w:keepLines w:val="0"/>
              <w:pageBreakBefore w:val="0"/>
              <w:shd w:val="clear"/>
              <w:kinsoku/>
              <w:wordWrap/>
              <w:overflowPunct/>
              <w:topLinePunct w:val="0"/>
              <w:autoSpaceDE/>
              <w:autoSpaceDN/>
              <w:bidi w:val="0"/>
              <w:adjustRightInd w:val="0"/>
              <w:snapToGrid w:val="0"/>
              <w:spacing w:line="240" w:lineRule="auto"/>
              <w:ind w:firstLine="360" w:firstLineChars="200"/>
              <w:jc w:val="left"/>
              <w:textAlignment w:val="auto"/>
              <w:rPr>
                <w:rFonts w:ascii="宋体" w:hAnsi="宋体" w:eastAsia="宋体" w:cs="宋体"/>
                <w:sz w:val="18"/>
                <w:szCs w:val="18"/>
                <w:highlight w:val="none"/>
                <w:shd w:val="clear" w:color="auto" w:fill="auto"/>
              </w:rPr>
            </w:pPr>
          </w:p>
        </w:tc>
        <w:tc>
          <w:tcPr>
            <w:tcW w:w="244" w:type="pct"/>
            <w:shd w:val="clear" w:color="auto" w:fill="auto"/>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32</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552" w:hRule="atLeast"/>
        </w:trPr>
        <w:tc>
          <w:tcPr>
            <w:tcW w:w="267" w:type="pct"/>
            <w:shd w:val="clear" w:color="auto" w:fill="auto"/>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2</w:t>
            </w:r>
          </w:p>
        </w:tc>
        <w:tc>
          <w:tcPr>
            <w:tcW w:w="289" w:type="pct"/>
            <w:shd w:val="clear" w:color="auto" w:fill="auto"/>
            <w:vAlign w:val="center"/>
          </w:tcPr>
          <w:p>
            <w:pPr>
              <w:shd w:val="clear"/>
              <w:adjustRightInd w:val="0"/>
              <w:snapToGrid w:val="0"/>
              <w:spacing w:line="240" w:lineRule="exact"/>
              <w:jc w:val="center"/>
              <w:rPr>
                <w:rFonts w:ascii="宋体" w:hAnsi="宋体" w:eastAsia="宋体" w:cs="宋体"/>
                <w:b/>
                <w:bCs/>
                <w:sz w:val="18"/>
                <w:szCs w:val="18"/>
                <w:highlight w:val="none"/>
                <w:shd w:val="clear" w:color="auto" w:fill="auto"/>
              </w:rPr>
            </w:pPr>
            <w:r>
              <w:rPr>
                <w:rFonts w:hint="eastAsia" w:ascii="宋体" w:hAnsi="宋体" w:eastAsia="宋体" w:cs="宋体"/>
                <w:b/>
                <w:bCs/>
                <w:sz w:val="18"/>
                <w:szCs w:val="18"/>
                <w:highlight w:val="none"/>
                <w:shd w:val="clear" w:color="auto" w:fill="auto"/>
              </w:rPr>
              <w:t>大学数学</w:t>
            </w:r>
          </w:p>
        </w:tc>
        <w:tc>
          <w:tcPr>
            <w:tcW w:w="1886" w:type="pct"/>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i w:val="0"/>
                <w:iCs w:val="0"/>
                <w:caps w:val="0"/>
                <w:color w:val="auto"/>
                <w:spacing w:val="0"/>
                <w:sz w:val="21"/>
                <w:szCs w:val="21"/>
                <w:highlight w:val="none"/>
                <w:shd w:val="clear" w:fill="FFFFFF"/>
              </w:rPr>
              <w:t>旨在拓展学生的数学视野，内容通常包括数学建模、离散数学、数值分析、复变函数等方向。例如，数学建模课程会教授学生如何将实际问题转化为数学问题，并通过建立数学模型进行求解和分析；离散数学则涵盖集合论、图论、逻辑等，为计算机科学等相关专业提供理论基础；数值分析侧重于数值计算方法，如插值、逼近、数值积分等，帮助学生掌握科学计算的实用技能；复变函数则深入研究复数域上的函数性质及其应用。这些课程内容丰富多样，能够满足不同专业学生的需求。</w:t>
            </w:r>
          </w:p>
        </w:tc>
        <w:tc>
          <w:tcPr>
            <w:tcW w:w="2311" w:type="pct"/>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i w:val="0"/>
                <w:iCs w:val="0"/>
                <w:caps w:val="0"/>
                <w:color w:val="auto"/>
                <w:spacing w:val="0"/>
                <w:sz w:val="21"/>
                <w:szCs w:val="21"/>
                <w:highlight w:val="none"/>
                <w:shd w:val="clear" w:fill="FFFFFF"/>
              </w:rPr>
              <w:t>要求学生具备一定的数学基础知识和学习主动性。学生需要按时完成课程作业，积极参与课堂讨论和小组项目，培养独立思考和团队协作能力。此外，学生应能够将所学数学知识与实际问题相结合，提升应用数学解决问题的能力。对于有志于深入学习数学或相关领域的学生，这门课程是提升专业素养的绝佳机会；对于其他学生，它也能帮助他们拓宽知识面，培养逻辑思维和创新意识。</w:t>
            </w:r>
          </w:p>
        </w:tc>
        <w:tc>
          <w:tcPr>
            <w:tcW w:w="244" w:type="pct"/>
            <w:shd w:val="clear" w:color="auto" w:fill="auto"/>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32</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1184" w:hRule="atLeast"/>
        </w:trPr>
        <w:tc>
          <w:tcPr>
            <w:tcW w:w="267" w:type="pct"/>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w:t>
            </w:r>
          </w:p>
        </w:tc>
        <w:tc>
          <w:tcPr>
            <w:tcW w:w="289" w:type="pct"/>
            <w:vAlign w:val="center"/>
          </w:tcPr>
          <w:p>
            <w:pPr>
              <w:shd w:val="clear"/>
              <w:adjustRightInd w:val="0"/>
              <w:snapToGrid w:val="0"/>
              <w:spacing w:line="240" w:lineRule="exact"/>
              <w:jc w:val="center"/>
              <w:rPr>
                <w:rFonts w:ascii="宋体" w:hAnsi="宋体" w:eastAsia="宋体" w:cs="宋体"/>
                <w:b/>
                <w:bCs/>
                <w:sz w:val="18"/>
                <w:szCs w:val="18"/>
                <w:highlight w:val="none"/>
                <w:shd w:val="clear" w:color="auto" w:fill="auto"/>
              </w:rPr>
            </w:pPr>
            <w:r>
              <w:rPr>
                <w:rFonts w:hint="eastAsia" w:ascii="宋体" w:hAnsi="宋体" w:eastAsia="宋体" w:cs="宋体"/>
                <w:b/>
                <w:bCs/>
                <w:sz w:val="18"/>
                <w:szCs w:val="18"/>
                <w:highlight w:val="none"/>
                <w:shd w:val="clear" w:color="auto" w:fill="auto"/>
              </w:rPr>
              <w:t>中华优秀传统文化</w:t>
            </w:r>
          </w:p>
        </w:tc>
        <w:tc>
          <w:tcPr>
            <w:tcW w:w="1886" w:type="pct"/>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sz w:val="21"/>
                <w:szCs w:val="21"/>
                <w:highlight w:val="none"/>
                <w:lang w:eastAsia="zh-CN"/>
              </w:rPr>
              <w:t>通过课程的学习，让学生了解</w:t>
            </w:r>
            <w:r>
              <w:rPr>
                <w:rFonts w:hint="eastAsia" w:ascii="仿宋" w:hAnsi="仿宋" w:eastAsia="仿宋" w:cs="仿宋"/>
                <w:color w:val="auto"/>
                <w:sz w:val="21"/>
                <w:szCs w:val="21"/>
                <w:highlight w:val="none"/>
                <w:lang w:val="en-US" w:eastAsia="zh-CN"/>
              </w:rPr>
              <w:t>5000多年</w:t>
            </w:r>
            <w:r>
              <w:rPr>
                <w:rFonts w:hint="eastAsia" w:ascii="仿宋" w:hAnsi="仿宋" w:eastAsia="仿宋" w:cs="仿宋"/>
                <w:color w:val="auto"/>
                <w:sz w:val="21"/>
                <w:szCs w:val="21"/>
                <w:highlight w:val="none"/>
                <w:lang w:eastAsia="zh-CN"/>
              </w:rPr>
              <w:t>中华优秀传统文化，</w:t>
            </w:r>
            <w:r>
              <w:rPr>
                <w:rFonts w:hint="eastAsia" w:ascii="仿宋" w:hAnsi="仿宋" w:eastAsia="仿宋" w:cs="仿宋"/>
                <w:color w:val="auto"/>
                <w:sz w:val="21"/>
                <w:szCs w:val="21"/>
                <w:highlight w:val="none"/>
              </w:rPr>
              <w:t>进一步增强</w:t>
            </w:r>
            <w:r>
              <w:rPr>
                <w:rFonts w:hint="eastAsia" w:ascii="仿宋" w:hAnsi="仿宋" w:eastAsia="仿宋" w:cs="仿宋"/>
                <w:color w:val="auto"/>
                <w:sz w:val="21"/>
                <w:szCs w:val="21"/>
                <w:highlight w:val="none"/>
                <w:lang w:eastAsia="zh-CN"/>
              </w:rPr>
              <w:t>学生</w:t>
            </w:r>
            <w:r>
              <w:rPr>
                <w:rFonts w:hint="eastAsia" w:ascii="仿宋" w:hAnsi="仿宋" w:eastAsia="仿宋" w:cs="仿宋"/>
                <w:color w:val="auto"/>
                <w:sz w:val="21"/>
                <w:szCs w:val="21"/>
                <w:highlight w:val="none"/>
              </w:rPr>
              <w:t>文化自觉和文化自信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自觉肩负起传承发展中华优秀传统文化的历史责任，</w:t>
            </w:r>
            <w:r>
              <w:rPr>
                <w:rFonts w:hint="eastAsia" w:ascii="仿宋" w:hAnsi="仿宋" w:eastAsia="仿宋" w:cs="仿宋"/>
                <w:color w:val="auto"/>
                <w:sz w:val="21"/>
                <w:szCs w:val="21"/>
                <w:highlight w:val="none"/>
                <w:lang w:eastAsia="zh-CN"/>
              </w:rPr>
              <w:t>努力做</w:t>
            </w:r>
            <w:r>
              <w:rPr>
                <w:rFonts w:hint="eastAsia" w:ascii="仿宋" w:hAnsi="仿宋" w:eastAsia="仿宋" w:cs="仿宋"/>
                <w:color w:val="auto"/>
                <w:sz w:val="21"/>
                <w:szCs w:val="21"/>
                <w:highlight w:val="none"/>
              </w:rPr>
              <w:t>中华优秀传统文化的忠实继承者、弘扬者和建设者</w:t>
            </w:r>
            <w:r>
              <w:rPr>
                <w:rFonts w:hint="eastAsia" w:ascii="仿宋" w:hAnsi="仿宋" w:eastAsia="仿宋" w:cs="仿宋"/>
                <w:color w:val="auto"/>
                <w:sz w:val="21"/>
                <w:szCs w:val="21"/>
                <w:highlight w:val="none"/>
                <w:lang w:eastAsia="zh-CN"/>
              </w:rPr>
              <w:t>。</w:t>
            </w:r>
          </w:p>
        </w:tc>
        <w:tc>
          <w:tcPr>
            <w:tcW w:w="2311" w:type="pct"/>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sz w:val="21"/>
                <w:szCs w:val="21"/>
                <w:highlight w:val="none"/>
                <w:lang w:eastAsia="zh-CN"/>
              </w:rPr>
              <w:t>本课程以家国情怀、社会关爱、人格修养为三条主线，将中华优秀传统文化所蕴含的中华元典精义，提炼为“中华源”“孝悌先”“约以礼”“勤且俭”“立诚信”“报国忠”等72个主题，进行系统全面的展示。</w:t>
            </w:r>
          </w:p>
        </w:tc>
        <w:tc>
          <w:tcPr>
            <w:tcW w:w="244" w:type="pct"/>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32</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543" w:hRule="atLeast"/>
        </w:trPr>
        <w:tc>
          <w:tcPr>
            <w:tcW w:w="267" w:type="pct"/>
            <w:tcBorders>
              <w:top w:val="single" w:color="auto" w:sz="4" w:space="0"/>
              <w:left w:val="single" w:color="auto" w:sz="2" w:space="0"/>
              <w:bottom w:val="single" w:color="auto" w:sz="4" w:space="0"/>
              <w:right w:val="single" w:color="auto" w:sz="4" w:space="0"/>
            </w:tcBorders>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4</w:t>
            </w:r>
          </w:p>
        </w:tc>
        <w:tc>
          <w:tcPr>
            <w:tcW w:w="289" w:type="pct"/>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240" w:lineRule="exact"/>
              <w:jc w:val="center"/>
              <w:rPr>
                <w:rFonts w:ascii="宋体" w:hAnsi="宋体" w:eastAsia="宋体" w:cs="宋体"/>
                <w:b/>
                <w:bCs/>
                <w:sz w:val="18"/>
                <w:szCs w:val="18"/>
                <w:highlight w:val="none"/>
                <w:shd w:val="clear" w:color="auto" w:fill="auto"/>
              </w:rPr>
            </w:pPr>
            <w:r>
              <w:rPr>
                <w:rFonts w:hint="eastAsia" w:ascii="宋体" w:hAnsi="宋体" w:eastAsia="宋体" w:cs="宋体"/>
                <w:b/>
                <w:bCs/>
                <w:sz w:val="18"/>
                <w:szCs w:val="18"/>
                <w:highlight w:val="none"/>
                <w:shd w:val="clear" w:color="auto" w:fill="auto"/>
              </w:rPr>
              <w:t>演讲与口才</w:t>
            </w:r>
          </w:p>
        </w:tc>
        <w:tc>
          <w:tcPr>
            <w:tcW w:w="18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sz w:val="21"/>
                <w:szCs w:val="21"/>
                <w:highlight w:val="none"/>
              </w:rPr>
              <w:t>通过课程学习，提高学生口头表达能力，能正面阐述自己的观点以及说服对方，从而完成工作任务成为社会所需要的实用型人才；掌握各行业的口才技巧，从而提高专业能力水平。树立正确的人生观、价值观；具有文明、优雅、谦虚、礼貌的交谈方式；具有良好的心理素质和人际交往能力。</w:t>
            </w:r>
          </w:p>
        </w:tc>
        <w:tc>
          <w:tcPr>
            <w:tcW w:w="2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sz w:val="21"/>
                <w:szCs w:val="21"/>
                <w:highlight w:val="none"/>
              </w:rPr>
              <w:t>本课程主要内容：了解演讲、口才、人才等概念及其相互关系；研究演讲者与听众的关系；探讨古今中外著名演讲家的演讲风格及特点；弄清楚一个演讲家应具备的素质；学会演讲技巧；掌握演讲艺术；进行口才训练。通过理论教学+实践教学的方式，</w:t>
            </w:r>
            <w:r>
              <w:rPr>
                <w:rFonts w:hint="eastAsia" w:ascii="仿宋" w:hAnsi="仿宋" w:eastAsia="仿宋" w:cs="仿宋"/>
                <w:color w:val="auto"/>
                <w:sz w:val="21"/>
                <w:szCs w:val="21"/>
                <w:highlight w:val="none"/>
              </w:rPr>
              <w:cr/>
            </w:r>
            <w:r>
              <w:rPr>
                <w:rFonts w:hint="eastAsia" w:ascii="仿宋" w:hAnsi="仿宋" w:eastAsia="仿宋" w:cs="仿宋"/>
                <w:color w:val="auto"/>
                <w:sz w:val="21"/>
                <w:szCs w:val="21"/>
                <w:highlight w:val="none"/>
              </w:rPr>
              <w:t>提高大学生的沟通能力、交际能力、组织协调能力。</w:t>
            </w:r>
          </w:p>
        </w:tc>
        <w:tc>
          <w:tcPr>
            <w:tcW w:w="244" w:type="pct"/>
            <w:tcBorders>
              <w:top w:val="single" w:color="auto" w:sz="4" w:space="0"/>
              <w:left w:val="single" w:color="auto" w:sz="4" w:space="0"/>
              <w:bottom w:val="single" w:color="auto" w:sz="4" w:space="0"/>
              <w:right w:val="single" w:color="auto" w:sz="2" w:space="0"/>
            </w:tcBorders>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32</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1116" w:hRule="atLeast"/>
        </w:trPr>
        <w:tc>
          <w:tcPr>
            <w:tcW w:w="267" w:type="pct"/>
            <w:tcBorders>
              <w:top w:val="single" w:color="auto" w:sz="4" w:space="0"/>
              <w:left w:val="single" w:color="auto" w:sz="2" w:space="0"/>
              <w:bottom w:val="single" w:color="auto" w:sz="4" w:space="0"/>
              <w:right w:val="single" w:color="auto" w:sz="4" w:space="0"/>
            </w:tcBorders>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5</w:t>
            </w:r>
          </w:p>
        </w:tc>
        <w:tc>
          <w:tcPr>
            <w:tcW w:w="289" w:type="pct"/>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240" w:lineRule="exact"/>
              <w:jc w:val="center"/>
              <w:rPr>
                <w:rFonts w:ascii="宋体" w:hAnsi="宋体" w:eastAsia="宋体" w:cs="宋体"/>
                <w:b/>
                <w:bCs/>
                <w:sz w:val="18"/>
                <w:szCs w:val="18"/>
                <w:highlight w:val="none"/>
                <w:shd w:val="clear" w:color="auto" w:fill="auto"/>
              </w:rPr>
            </w:pPr>
            <w:r>
              <w:rPr>
                <w:rFonts w:hint="eastAsia" w:ascii="宋体" w:hAnsi="宋体" w:eastAsia="宋体" w:cs="宋体"/>
                <w:b/>
                <w:bCs/>
                <w:sz w:val="18"/>
                <w:szCs w:val="18"/>
                <w:highlight w:val="none"/>
                <w:shd w:val="clear" w:color="auto" w:fill="auto"/>
              </w:rPr>
              <w:t>大学美育</w:t>
            </w:r>
          </w:p>
        </w:tc>
        <w:tc>
          <w:tcPr>
            <w:tcW w:w="18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sz w:val="21"/>
                <w:szCs w:val="21"/>
                <w:highlight w:val="none"/>
                <w:lang w:val="en-US" w:eastAsia="zh-CN"/>
              </w:rPr>
              <w:t>本课程</w:t>
            </w:r>
            <w:r>
              <w:rPr>
                <w:rFonts w:hint="eastAsia" w:ascii="仿宋" w:hAnsi="仿宋" w:eastAsia="仿宋" w:cs="仿宋"/>
                <w:color w:val="auto"/>
                <w:sz w:val="21"/>
                <w:szCs w:val="21"/>
                <w:highlight w:val="none"/>
              </w:rPr>
              <w:t>既有美学理论的阐释，又有美的现象和形态的生动呈现和具体分析，帮助学生理解审美理想和情趣，贴近他们的审美关怀，与他们一起解答审美疑问，增长美学知识，从而提升审美修养和素质。</w:t>
            </w:r>
          </w:p>
        </w:tc>
        <w:tc>
          <w:tcPr>
            <w:tcW w:w="2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本课程主要内容：概论、美术之美、诗歌之美、 戏剧之美、人生之美、 小城之美、通过美的熏陶，潜移默化地塑造人类美好的心灵，培养学生积极向上的乐观心态。</w:t>
            </w:r>
          </w:p>
          <w:p>
            <w:pPr>
              <w:keepNext w:val="0"/>
              <w:keepLines w:val="0"/>
              <w:pageBreakBefore w:val="0"/>
              <w:shd w:val="clear"/>
              <w:kinsoku/>
              <w:wordWrap/>
              <w:overflowPunct/>
              <w:topLinePunct w:val="0"/>
              <w:autoSpaceDE/>
              <w:autoSpaceDN/>
              <w:bidi w:val="0"/>
              <w:adjustRightInd w:val="0"/>
              <w:snapToGrid w:val="0"/>
              <w:spacing w:line="240" w:lineRule="auto"/>
              <w:ind w:firstLine="360" w:firstLineChars="200"/>
              <w:jc w:val="left"/>
              <w:textAlignment w:val="auto"/>
              <w:rPr>
                <w:rFonts w:ascii="宋体" w:hAnsi="宋体" w:eastAsia="宋体" w:cs="宋体"/>
                <w:sz w:val="18"/>
                <w:szCs w:val="18"/>
                <w:highlight w:val="none"/>
                <w:shd w:val="clear" w:color="auto" w:fill="auto"/>
              </w:rPr>
            </w:pPr>
          </w:p>
        </w:tc>
        <w:tc>
          <w:tcPr>
            <w:tcW w:w="244" w:type="pct"/>
            <w:tcBorders>
              <w:top w:val="single" w:color="auto" w:sz="4" w:space="0"/>
              <w:left w:val="single" w:color="auto" w:sz="4" w:space="0"/>
              <w:bottom w:val="single" w:color="auto" w:sz="4" w:space="0"/>
              <w:right w:val="single" w:color="auto" w:sz="2" w:space="0"/>
            </w:tcBorders>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32</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1214" w:hRule="atLeast"/>
        </w:trPr>
        <w:tc>
          <w:tcPr>
            <w:tcW w:w="267" w:type="pct"/>
            <w:tcBorders>
              <w:top w:val="single" w:color="auto" w:sz="4" w:space="0"/>
              <w:left w:val="single" w:color="auto" w:sz="2" w:space="0"/>
              <w:bottom w:val="single" w:color="auto" w:sz="4" w:space="0"/>
              <w:right w:val="single" w:color="auto" w:sz="4" w:space="0"/>
            </w:tcBorders>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6</w:t>
            </w:r>
          </w:p>
        </w:tc>
        <w:tc>
          <w:tcPr>
            <w:tcW w:w="289" w:type="pct"/>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240" w:lineRule="exact"/>
              <w:jc w:val="center"/>
              <w:rPr>
                <w:rFonts w:ascii="宋体" w:hAnsi="宋体" w:eastAsia="宋体" w:cs="宋体"/>
                <w:b/>
                <w:bCs/>
                <w:sz w:val="18"/>
                <w:szCs w:val="18"/>
                <w:highlight w:val="none"/>
                <w:shd w:val="clear" w:color="auto" w:fill="auto"/>
              </w:rPr>
            </w:pPr>
            <w:r>
              <w:rPr>
                <w:rFonts w:hint="eastAsia" w:ascii="宋体" w:hAnsi="宋体" w:eastAsia="宋体" w:cs="宋体"/>
                <w:b/>
                <w:bCs/>
                <w:sz w:val="18"/>
                <w:szCs w:val="18"/>
                <w:highlight w:val="none"/>
                <w:shd w:val="clear" w:color="auto" w:fill="auto"/>
              </w:rPr>
              <w:t>商务礼仪</w:t>
            </w:r>
          </w:p>
        </w:tc>
        <w:tc>
          <w:tcPr>
            <w:tcW w:w="18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sz w:val="21"/>
                <w:szCs w:val="21"/>
                <w:highlight w:val="none"/>
              </w:rPr>
              <w:t>旨在培养学生在商务活动中的礼仪意识和行为规范，帮助学生掌握与不同商务对象交往时的礼仪技巧，提升个人形象和职业素养，增强在商务场合中的沟通能力与竞争力。通过本课程的学习，学生能够更好地适应商务环境，树立良好的职业形象，为未来的职业发展奠定坚实的基础。</w:t>
            </w:r>
          </w:p>
        </w:tc>
        <w:tc>
          <w:tcPr>
            <w:tcW w:w="2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sz w:val="21"/>
                <w:szCs w:val="21"/>
                <w:highlight w:val="none"/>
              </w:rPr>
              <w:t>掌握商务礼仪的基本知识与规范，包括仪容仪表、交往礼仪、活动礼仪、沟通礼仪等方面。在课堂上，学生要积极思考、踊跃发言，通过情景模拟和案例分析等实践环节，将理论知识转化为实际操作能力，展现出良好的职业素养与礼仪风范。同时，学生还需关注跨文化礼仪差异，培养国际视野，以适应全球化背景下的商务交往需求。</w:t>
            </w:r>
          </w:p>
        </w:tc>
        <w:tc>
          <w:tcPr>
            <w:tcW w:w="244" w:type="pct"/>
            <w:tcBorders>
              <w:top w:val="single" w:color="auto" w:sz="4" w:space="0"/>
              <w:left w:val="single" w:color="auto" w:sz="4" w:space="0"/>
              <w:bottom w:val="single" w:color="auto" w:sz="4" w:space="0"/>
              <w:right w:val="single" w:color="auto" w:sz="2" w:space="0"/>
            </w:tcBorders>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32</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1681" w:hRule="atLeast"/>
        </w:trPr>
        <w:tc>
          <w:tcPr>
            <w:tcW w:w="267" w:type="pct"/>
            <w:tcBorders>
              <w:top w:val="single" w:color="auto" w:sz="4" w:space="0"/>
              <w:left w:val="single" w:color="auto" w:sz="2" w:space="0"/>
              <w:bottom w:val="single" w:color="auto" w:sz="4" w:space="0"/>
              <w:right w:val="single" w:color="auto" w:sz="4" w:space="0"/>
            </w:tcBorders>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7</w:t>
            </w:r>
          </w:p>
        </w:tc>
        <w:tc>
          <w:tcPr>
            <w:tcW w:w="289" w:type="pct"/>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240" w:lineRule="exact"/>
              <w:jc w:val="center"/>
              <w:rPr>
                <w:rFonts w:ascii="宋体" w:hAnsi="宋体" w:eastAsia="宋体" w:cs="宋体"/>
                <w:b/>
                <w:bCs/>
                <w:sz w:val="18"/>
                <w:szCs w:val="18"/>
                <w:highlight w:val="none"/>
                <w:shd w:val="clear" w:color="auto" w:fill="auto"/>
              </w:rPr>
            </w:pPr>
            <w:r>
              <w:rPr>
                <w:rFonts w:hint="eastAsia" w:ascii="宋体" w:hAnsi="宋体" w:eastAsia="宋体" w:cs="宋体"/>
                <w:b/>
                <w:bCs/>
                <w:sz w:val="18"/>
                <w:szCs w:val="18"/>
                <w:highlight w:val="none"/>
                <w:shd w:val="clear" w:color="auto" w:fill="auto"/>
              </w:rPr>
              <w:t>艺术赏析</w:t>
            </w:r>
          </w:p>
        </w:tc>
        <w:tc>
          <w:tcPr>
            <w:tcW w:w="18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sz w:val="21"/>
                <w:szCs w:val="21"/>
                <w:highlight w:val="none"/>
              </w:rPr>
              <w:t>艺术鉴赏是一门旨在培养学生对艺术作品的感知、理解、分析和评价能力的课程。它涵盖多种艺术形式，如绘画、雕塑、音乐、舞蹈、戏剧、影视等，通过系统的学习和实践，帮助学生拓宽艺术视野，提升审美素养，增强对不同文化背景下艺术作品的包容与欣赏能力，同时激发学生对艺术创作的兴趣和灵感</w:t>
            </w:r>
          </w:p>
        </w:tc>
        <w:tc>
          <w:tcPr>
            <w:tcW w:w="2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sz w:val="21"/>
                <w:szCs w:val="21"/>
                <w:highlight w:val="none"/>
              </w:rPr>
              <w:t>教学内容涵盖绘画、雕塑、音乐、舞蹈、戏剧、影视等主要艺术门类，通过介绍艺术基础知识、流派特点、经典作品赏析以及鉴赏方法，引导学生从形式美与内容美的角度深入解读艺术作品。课程要求学生积极参与课堂讨论，主动表达自己的观点与感受，同时学会倾听他人意见，培养批判性思维。此外，学生还需通过实地参观、观看演出、撰写赏析报告等方式，将理论知识与实践相结合，提升审美素养与文化内涵。</w:t>
            </w:r>
          </w:p>
        </w:tc>
        <w:tc>
          <w:tcPr>
            <w:tcW w:w="244" w:type="pct"/>
            <w:tcBorders>
              <w:top w:val="single" w:color="auto" w:sz="4" w:space="0"/>
              <w:left w:val="single" w:color="auto" w:sz="4" w:space="0"/>
              <w:bottom w:val="single" w:color="auto" w:sz="4" w:space="0"/>
              <w:right w:val="single" w:color="auto" w:sz="2" w:space="0"/>
            </w:tcBorders>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32</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1523" w:hRule="atLeast"/>
        </w:trPr>
        <w:tc>
          <w:tcPr>
            <w:tcW w:w="267" w:type="pct"/>
            <w:tcBorders>
              <w:top w:val="single" w:color="auto" w:sz="4" w:space="0"/>
              <w:left w:val="single" w:color="auto" w:sz="2" w:space="0"/>
              <w:bottom w:val="single" w:color="auto" w:sz="4" w:space="0"/>
              <w:right w:val="single" w:color="auto" w:sz="4" w:space="0"/>
            </w:tcBorders>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8</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240" w:lineRule="exact"/>
              <w:jc w:val="center"/>
              <w:rPr>
                <w:rFonts w:ascii="宋体" w:hAnsi="宋体" w:eastAsia="宋体" w:cs="宋体"/>
                <w:b/>
                <w:bCs/>
                <w:sz w:val="18"/>
                <w:szCs w:val="18"/>
                <w:highlight w:val="none"/>
                <w:shd w:val="clear" w:color="auto" w:fill="auto"/>
              </w:rPr>
            </w:pPr>
            <w:r>
              <w:rPr>
                <w:rFonts w:hint="eastAsia" w:ascii="宋体" w:hAnsi="宋体" w:eastAsia="宋体" w:cs="宋体"/>
                <w:b/>
                <w:bCs/>
                <w:sz w:val="18"/>
                <w:szCs w:val="18"/>
                <w:highlight w:val="none"/>
                <w:shd w:val="clear" w:color="auto" w:fill="auto"/>
              </w:rPr>
              <w:t>大学生职业素养提升</w:t>
            </w:r>
          </w:p>
        </w:tc>
        <w:tc>
          <w:tcPr>
            <w:tcW w:w="18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sz w:val="21"/>
                <w:szCs w:val="21"/>
                <w:highlight w:val="none"/>
              </w:rPr>
              <w:t>以培养学生正确的人生观、价值观和就业观为已任，以职业素养培育为核心，将职业素养要求与社会主义核心价值观相结合，使学生充分认识到职业素养对个人发展的重要性，能够引导并激励学生自觉培养良好的职业素养。</w:t>
            </w:r>
          </w:p>
        </w:tc>
        <w:tc>
          <w:tcPr>
            <w:tcW w:w="23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sz w:val="18"/>
                <w:szCs w:val="18"/>
                <w:highlight w:val="none"/>
                <w:shd w:val="clear" w:color="auto" w:fill="auto"/>
              </w:rPr>
            </w:pPr>
            <w:r>
              <w:rPr>
                <w:rFonts w:hint="eastAsia" w:ascii="仿宋" w:hAnsi="仿宋" w:eastAsia="仿宋" w:cs="仿宋"/>
                <w:color w:val="auto"/>
                <w:sz w:val="21"/>
                <w:szCs w:val="21"/>
                <w:highlight w:val="none"/>
                <w:lang w:val="en-US" w:eastAsia="zh-CN"/>
              </w:rPr>
              <w:t>通过学习要求</w:t>
            </w:r>
            <w:r>
              <w:rPr>
                <w:rFonts w:hint="eastAsia" w:ascii="仿宋" w:hAnsi="仿宋" w:eastAsia="仿宋" w:cs="仿宋"/>
                <w:color w:val="auto"/>
                <w:sz w:val="21"/>
                <w:szCs w:val="21"/>
                <w:highlight w:val="none"/>
              </w:rPr>
              <w:t>掌握提升自我效能、自我管理的方法；时间管理技巧；有效沟通的方法；演讲的特点与技巧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熟悉有效倾听和良好沟通的方式；演讲中语言及手势的运用；理财的基本方法；商务信函的写作技巧；商务礼仪及职业形象的塑造；团队协作及冲突管理的技巧；迅速适应职场的技巧。了解职业素养的内涵；素质模型的概念及理论；生涯平衡的内涵；情绪管理理论及方法；时间管理的重要性；理财管理的基本概念及理论。</w:t>
            </w:r>
          </w:p>
        </w:tc>
        <w:tc>
          <w:tcPr>
            <w:tcW w:w="244" w:type="pct"/>
            <w:tcBorders>
              <w:top w:val="single" w:color="auto" w:sz="4" w:space="0"/>
              <w:left w:val="single" w:color="auto" w:sz="4" w:space="0"/>
              <w:bottom w:val="single" w:color="auto" w:sz="4" w:space="0"/>
              <w:right w:val="single" w:color="auto" w:sz="2" w:space="0"/>
            </w:tcBorders>
            <w:shd w:val="clear" w:color="auto" w:fill="auto"/>
            <w:vAlign w:val="center"/>
          </w:tcPr>
          <w:p>
            <w:pPr>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32</w:t>
            </w:r>
          </w:p>
        </w:tc>
      </w:tr>
    </w:tbl>
    <w:p>
      <w:pPr>
        <w:pStyle w:val="4"/>
        <w:widowControl/>
        <w:numPr>
          <w:ilvl w:val="0"/>
          <w:numId w:val="2"/>
        </w:numPr>
        <w:shd w:val="clear" w:color="auto"/>
        <w:adjustRightInd w:val="0"/>
        <w:snapToGrid w:val="0"/>
        <w:spacing w:beforeAutospacing="0" w:afterAutospacing="0" w:line="360" w:lineRule="auto"/>
        <w:ind w:firstLine="560" w:firstLineChars="200"/>
        <w:rPr>
          <w:rFonts w:ascii="Times New Roman" w:hAnsi="Times New Roman" w:eastAsia="仿宋"/>
          <w:color w:val="191919"/>
          <w:sz w:val="28"/>
          <w:szCs w:val="28"/>
          <w:highlight w:val="none"/>
          <w:shd w:val="clear" w:color="auto" w:fill="auto"/>
        </w:rPr>
      </w:pPr>
      <w:r>
        <w:rPr>
          <w:rFonts w:ascii="Times New Roman" w:hAnsi="Times New Roman" w:eastAsia="仿宋"/>
          <w:color w:val="191919"/>
          <w:sz w:val="28"/>
          <w:szCs w:val="28"/>
          <w:highlight w:val="none"/>
          <w:shd w:val="clear" w:color="auto" w:fill="auto"/>
        </w:rPr>
        <w:t>专业课程</w:t>
      </w:r>
    </w:p>
    <w:p>
      <w:pPr>
        <w:pStyle w:val="4"/>
        <w:widowControl/>
        <w:shd w:val="clear" w:color="auto"/>
        <w:adjustRightInd w:val="0"/>
        <w:snapToGrid w:val="0"/>
        <w:spacing w:beforeAutospacing="0" w:afterAutospacing="0" w:line="360" w:lineRule="auto"/>
        <w:ind w:firstLine="560" w:firstLineChars="200"/>
        <w:rPr>
          <w:rFonts w:ascii="仿宋" w:hAnsi="仿宋" w:eastAsia="仿宋" w:cs="仿宋"/>
          <w:color w:val="000000"/>
          <w:sz w:val="28"/>
          <w:szCs w:val="28"/>
          <w:highlight w:val="none"/>
          <w:shd w:val="clear" w:color="auto" w:fill="auto"/>
          <w:lang w:bidi="ar"/>
        </w:rPr>
      </w:pPr>
      <w:r>
        <w:rPr>
          <w:rFonts w:hint="eastAsia" w:ascii="仿宋" w:hAnsi="仿宋" w:eastAsia="仿宋" w:cs="仿宋"/>
          <w:color w:val="000000"/>
          <w:sz w:val="28"/>
          <w:szCs w:val="28"/>
          <w:highlight w:val="none"/>
          <w:shd w:val="clear" w:color="auto" w:fill="auto"/>
          <w:lang w:bidi="ar"/>
        </w:rPr>
        <w:t>(1)专业基础课程</w:t>
      </w:r>
    </w:p>
    <w:p>
      <w:pPr>
        <w:pStyle w:val="4"/>
        <w:widowControl/>
        <w:shd w:val="clear" w:color="auto"/>
        <w:adjustRightInd w:val="0"/>
        <w:snapToGrid w:val="0"/>
        <w:spacing w:beforeAutospacing="0" w:afterAutospacing="0" w:line="360" w:lineRule="auto"/>
        <w:ind w:firstLine="560" w:firstLineChars="200"/>
        <w:rPr>
          <w:rFonts w:ascii="仿宋" w:hAnsi="仿宋" w:eastAsia="仿宋" w:cs="仿宋"/>
          <w:sz w:val="28"/>
          <w:szCs w:val="28"/>
          <w:highlight w:val="none"/>
          <w:shd w:val="clear" w:color="auto" w:fill="auto"/>
        </w:rPr>
      </w:pPr>
    </w:p>
    <w:p>
      <w:pPr>
        <w:shd w:val="clear"/>
        <w:snapToGrid w:val="0"/>
        <w:spacing w:line="440" w:lineRule="exact"/>
        <w:jc w:val="center"/>
        <w:rPr>
          <w:rFonts w:ascii="仿宋" w:hAnsi="仿宋" w:eastAsia="仿宋" w:cs="宋体"/>
          <w:b/>
          <w:kern w:val="0"/>
          <w:szCs w:val="21"/>
          <w:highlight w:val="none"/>
          <w:shd w:val="clear" w:color="auto" w:fill="auto"/>
        </w:rPr>
      </w:pPr>
      <w:r>
        <w:rPr>
          <w:rFonts w:hint="eastAsia" w:ascii="仿宋" w:hAnsi="仿宋" w:eastAsia="仿宋" w:cs="宋体"/>
          <w:b/>
          <w:kern w:val="0"/>
          <w:szCs w:val="21"/>
          <w:highlight w:val="none"/>
          <w:shd w:val="clear" w:color="auto" w:fill="auto"/>
        </w:rPr>
        <w:t>表3 专业基础课说明表</w:t>
      </w:r>
    </w:p>
    <w:tbl>
      <w:tblPr>
        <w:tblStyle w:val="5"/>
        <w:tblW w:w="55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6" w:type="dxa"/>
          <w:left w:w="36" w:type="dxa"/>
          <w:bottom w:w="36" w:type="dxa"/>
          <w:right w:w="36" w:type="dxa"/>
        </w:tblCellMar>
      </w:tblPr>
      <w:tblGrid>
        <w:gridCol w:w="492"/>
        <w:gridCol w:w="1383"/>
        <w:gridCol w:w="3609"/>
        <w:gridCol w:w="4114"/>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428" w:hRule="atLeast"/>
          <w:jc w:val="center"/>
        </w:trPr>
        <w:tc>
          <w:tcPr>
            <w:tcW w:w="241" w:type="pct"/>
            <w:shd w:val="clear" w:color="auto" w:fill="auto"/>
            <w:vAlign w:val="center"/>
          </w:tcPr>
          <w:p>
            <w:pPr>
              <w:shd w:val="clear"/>
              <w:adjustRightInd w:val="0"/>
              <w:snapToGrid w:val="0"/>
              <w:spacing w:line="240" w:lineRule="exact"/>
              <w:jc w:val="center"/>
              <w:rPr>
                <w:rFonts w:ascii="宋体" w:hAnsi="宋体" w:eastAsia="宋体" w:cs="宋体"/>
                <w:b/>
                <w:kern w:val="0"/>
                <w:sz w:val="18"/>
                <w:szCs w:val="18"/>
                <w:highlight w:val="none"/>
                <w:shd w:val="clear" w:color="auto" w:fill="auto"/>
              </w:rPr>
            </w:pPr>
            <w:r>
              <w:rPr>
                <w:rFonts w:hint="eastAsia" w:ascii="宋体" w:hAnsi="宋体" w:eastAsia="宋体" w:cs="宋体"/>
                <w:b/>
                <w:kern w:val="0"/>
                <w:sz w:val="18"/>
                <w:szCs w:val="18"/>
                <w:highlight w:val="none"/>
                <w:shd w:val="clear" w:color="auto" w:fill="auto"/>
              </w:rPr>
              <w:t>序号</w:t>
            </w:r>
          </w:p>
        </w:tc>
        <w:tc>
          <w:tcPr>
            <w:tcW w:w="677" w:type="pct"/>
            <w:shd w:val="clear" w:color="auto" w:fill="auto"/>
            <w:vAlign w:val="center"/>
          </w:tcPr>
          <w:p>
            <w:pPr>
              <w:shd w:val="clear"/>
              <w:adjustRightInd w:val="0"/>
              <w:snapToGrid w:val="0"/>
              <w:spacing w:line="240" w:lineRule="exact"/>
              <w:jc w:val="center"/>
              <w:rPr>
                <w:rFonts w:ascii="宋体" w:hAnsi="宋体" w:eastAsia="宋体" w:cs="宋体"/>
                <w:b/>
                <w:kern w:val="0"/>
                <w:sz w:val="18"/>
                <w:szCs w:val="18"/>
                <w:highlight w:val="none"/>
                <w:shd w:val="clear" w:color="auto" w:fill="auto"/>
              </w:rPr>
            </w:pPr>
            <w:r>
              <w:rPr>
                <w:rFonts w:hint="eastAsia" w:ascii="宋体" w:hAnsi="宋体" w:eastAsia="宋体" w:cs="宋体"/>
                <w:b/>
                <w:kern w:val="0"/>
                <w:sz w:val="18"/>
                <w:szCs w:val="18"/>
                <w:highlight w:val="none"/>
                <w:shd w:val="clear" w:color="auto" w:fill="auto"/>
              </w:rPr>
              <w:t>课程名称</w:t>
            </w:r>
          </w:p>
        </w:tc>
        <w:tc>
          <w:tcPr>
            <w:tcW w:w="1767" w:type="pct"/>
            <w:shd w:val="clear" w:color="auto" w:fill="auto"/>
            <w:vAlign w:val="center"/>
          </w:tcPr>
          <w:p>
            <w:pPr>
              <w:shd w:val="clear"/>
              <w:adjustRightInd w:val="0"/>
              <w:snapToGrid w:val="0"/>
              <w:spacing w:line="240" w:lineRule="exact"/>
              <w:jc w:val="center"/>
              <w:rPr>
                <w:rFonts w:ascii="宋体" w:hAnsi="宋体" w:eastAsia="宋体" w:cs="宋体"/>
                <w:b/>
                <w:kern w:val="0"/>
                <w:sz w:val="18"/>
                <w:szCs w:val="18"/>
                <w:highlight w:val="none"/>
                <w:shd w:val="clear" w:color="auto" w:fill="auto"/>
              </w:rPr>
            </w:pPr>
            <w:r>
              <w:rPr>
                <w:rFonts w:hint="eastAsia" w:ascii="宋体" w:hAnsi="宋体" w:eastAsia="宋体" w:cs="宋体"/>
                <w:b/>
                <w:kern w:val="0"/>
                <w:sz w:val="18"/>
                <w:szCs w:val="18"/>
                <w:highlight w:val="none"/>
                <w:shd w:val="clear" w:color="auto" w:fill="auto"/>
              </w:rPr>
              <w:t>教学目标</w:t>
            </w:r>
          </w:p>
        </w:tc>
        <w:tc>
          <w:tcPr>
            <w:tcW w:w="2014" w:type="pct"/>
            <w:shd w:val="clear" w:color="auto" w:fill="auto"/>
            <w:vAlign w:val="center"/>
          </w:tcPr>
          <w:p>
            <w:pPr>
              <w:shd w:val="clear"/>
              <w:adjustRightInd w:val="0"/>
              <w:snapToGrid w:val="0"/>
              <w:spacing w:line="240" w:lineRule="exact"/>
              <w:jc w:val="center"/>
              <w:rPr>
                <w:rFonts w:ascii="宋体" w:hAnsi="宋体" w:eastAsia="宋体" w:cs="宋体"/>
                <w:b/>
                <w:kern w:val="0"/>
                <w:sz w:val="18"/>
                <w:szCs w:val="18"/>
                <w:highlight w:val="none"/>
                <w:shd w:val="clear" w:color="auto" w:fill="auto"/>
              </w:rPr>
            </w:pPr>
            <w:r>
              <w:rPr>
                <w:rFonts w:hint="eastAsia" w:ascii="宋体" w:hAnsi="宋体" w:eastAsia="宋体" w:cs="宋体"/>
                <w:b/>
                <w:kern w:val="0"/>
                <w:sz w:val="18"/>
                <w:szCs w:val="18"/>
                <w:highlight w:val="none"/>
                <w:shd w:val="clear" w:color="auto" w:fill="auto"/>
              </w:rPr>
              <w:t>主要内容和教学要求</w:t>
            </w:r>
          </w:p>
        </w:tc>
        <w:tc>
          <w:tcPr>
            <w:tcW w:w="297" w:type="pct"/>
            <w:shd w:val="clear" w:color="auto" w:fill="auto"/>
            <w:vAlign w:val="center"/>
          </w:tcPr>
          <w:p>
            <w:pPr>
              <w:shd w:val="clear"/>
              <w:adjustRightInd w:val="0"/>
              <w:snapToGrid w:val="0"/>
              <w:spacing w:line="240" w:lineRule="exact"/>
              <w:jc w:val="center"/>
              <w:rPr>
                <w:rFonts w:ascii="宋体" w:hAnsi="宋体" w:eastAsia="宋体" w:cs="宋体"/>
                <w:b/>
                <w:kern w:val="0"/>
                <w:sz w:val="18"/>
                <w:szCs w:val="18"/>
                <w:highlight w:val="none"/>
                <w:shd w:val="clear" w:color="auto" w:fill="auto"/>
              </w:rPr>
            </w:pPr>
            <w:r>
              <w:rPr>
                <w:rFonts w:hint="eastAsia" w:ascii="宋体" w:hAnsi="宋体" w:eastAsia="宋体" w:cs="宋体"/>
                <w:b/>
                <w:kern w:val="0"/>
                <w:sz w:val="18"/>
                <w:szCs w:val="18"/>
                <w:highlight w:val="none"/>
                <w:shd w:val="clear" w:color="auto" w:fill="auto"/>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90"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sz w:val="18"/>
                <w:szCs w:val="18"/>
                <w:highlight w:val="none"/>
                <w:shd w:val="clear" w:color="auto" w:fill="auto"/>
              </w:rPr>
              <w:t>1</w:t>
            </w:r>
          </w:p>
        </w:tc>
        <w:tc>
          <w:tcPr>
            <w:tcW w:w="1383" w:type="dxa"/>
            <w:shd w:val="clear" w:color="auto" w:fill="auto"/>
            <w:vAlign w:val="center"/>
          </w:tcPr>
          <w:p>
            <w:pPr>
              <w:shd w:val="clear"/>
              <w:adjustRightInd w:val="0"/>
              <w:snapToGrid w:val="0"/>
              <w:spacing w:line="240" w:lineRule="exact"/>
              <w:jc w:val="left"/>
              <w:rPr>
                <w:rFonts w:ascii="宋体" w:hAnsi="宋体" w:eastAsia="宋体" w:cs="宋体"/>
                <w:b/>
                <w:color w:val="auto"/>
                <w:kern w:val="0"/>
                <w:sz w:val="18"/>
                <w:szCs w:val="18"/>
                <w:highlight w:val="none"/>
                <w:shd w:val="clear" w:color="auto" w:fill="auto"/>
              </w:rPr>
            </w:pPr>
            <w:r>
              <w:rPr>
                <w:rFonts w:hint="eastAsia" w:ascii="仿宋" w:hAnsi="仿宋" w:eastAsia="仿宋" w:cs="仿宋"/>
                <w:color w:val="auto"/>
                <w:sz w:val="20"/>
                <w:szCs w:val="20"/>
                <w:lang w:val="en-US" w:eastAsia="zh-CN"/>
              </w:rPr>
              <w:t>市场营销</w:t>
            </w:r>
          </w:p>
        </w:tc>
        <w:tc>
          <w:tcPr>
            <w:tcW w:w="3609"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color w:val="auto"/>
                <w:sz w:val="20"/>
                <w:szCs w:val="20"/>
              </w:rPr>
              <w:t>使学生掌握市场营销的理论体系，在此基础上掌握网络营销与传统营销关系与区别，熟悉网络营销的内外环境和网络消费者的购买动机，正确理解网络消费行为和市场细分，掌握运用网络促销的方法，具备网络广告制作基本技能。</w:t>
            </w:r>
          </w:p>
        </w:tc>
        <w:tc>
          <w:tcPr>
            <w:tcW w:w="4114" w:type="dxa"/>
            <w:shd w:val="clear" w:color="auto" w:fill="auto"/>
            <w:vAlign w:val="center"/>
          </w:tcPr>
          <w:p>
            <w:pPr>
              <w:widowControl/>
              <w:adjustRightInd w:val="0"/>
              <w:snapToGrid w:val="0"/>
              <w:spacing w:line="240" w:lineRule="exact"/>
              <w:ind w:firstLine="420" w:firstLineChars="200"/>
              <w:rPr>
                <w:rFonts w:hint="eastAsia" w:ascii="仿宋" w:hAnsi="仿宋" w:eastAsia="仿宋" w:cs="仿宋"/>
                <w:color w:val="auto"/>
                <w:sz w:val="20"/>
                <w:szCs w:val="20"/>
              </w:rPr>
            </w:pPr>
            <w:r>
              <w:rPr>
                <w:rFonts w:hint="eastAsia" w:ascii="仿宋" w:hAnsi="仿宋" w:eastAsia="仿宋" w:cs="仿宋"/>
                <w:color w:val="auto"/>
                <w:sz w:val="21"/>
                <w:szCs w:val="21"/>
                <w:highlight w:val="none"/>
                <w:lang w:val="en-US" w:eastAsia="zh-CN"/>
              </w:rPr>
              <w:t>通过学习要求</w:t>
            </w:r>
            <w:r>
              <w:rPr>
                <w:rFonts w:hint="eastAsia" w:ascii="仿宋" w:hAnsi="仿宋" w:eastAsia="仿宋" w:cs="仿宋"/>
                <w:color w:val="auto"/>
                <w:sz w:val="21"/>
                <w:szCs w:val="21"/>
                <w:highlight w:val="none"/>
              </w:rPr>
              <w:t>掌握</w:t>
            </w:r>
            <w:r>
              <w:rPr>
                <w:rFonts w:hint="eastAsia" w:ascii="仿宋" w:hAnsi="仿宋" w:eastAsia="仿宋" w:cs="仿宋"/>
                <w:color w:val="auto"/>
                <w:sz w:val="20"/>
                <w:szCs w:val="20"/>
              </w:rPr>
              <w:t>市场营销概述、市场营销环境、市场购买行为、营销调研与市场预测、营销组合、市场的组织与控制网络营销理论基础、网络营销内外环境、网上市场调研、企业网站建设与推广、网络广告与搜索引擎营销、许可Ｅ－mail营销、网络会员营销、博客营销、网店运营、网络营销实施效果评价、网络营销综合案例分析。</w:t>
            </w:r>
          </w:p>
          <w:p>
            <w:pPr>
              <w:shd w:val="clear"/>
              <w:adjustRightInd w:val="0"/>
              <w:snapToGrid w:val="0"/>
              <w:spacing w:line="240" w:lineRule="exact"/>
              <w:ind w:firstLine="360" w:firstLineChars="200"/>
              <w:jc w:val="left"/>
              <w:rPr>
                <w:rFonts w:ascii="宋体" w:hAnsi="宋体" w:eastAsia="宋体" w:cs="宋体"/>
                <w:color w:val="auto"/>
                <w:sz w:val="18"/>
                <w:szCs w:val="18"/>
                <w:highlight w:val="none"/>
                <w:shd w:val="clear" w:color="auto" w:fill="auto"/>
              </w:rPr>
            </w:pP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2162"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2</w:t>
            </w:r>
          </w:p>
        </w:tc>
        <w:tc>
          <w:tcPr>
            <w:tcW w:w="138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b/>
                <w:color w:val="auto"/>
                <w:kern w:val="0"/>
                <w:sz w:val="18"/>
                <w:szCs w:val="18"/>
                <w:highlight w:val="none"/>
                <w:shd w:val="clear" w:color="auto" w:fill="auto"/>
              </w:rPr>
            </w:pPr>
            <w:r>
              <w:rPr>
                <w:rFonts w:hint="eastAsia" w:ascii="仿宋" w:hAnsi="仿宋" w:eastAsia="仿宋" w:cs="仿宋"/>
                <w:color w:val="auto"/>
                <w:sz w:val="20"/>
                <w:szCs w:val="20"/>
              </w:rPr>
              <w:t>经济基础</w:t>
            </w:r>
          </w:p>
        </w:tc>
        <w:tc>
          <w:tcPr>
            <w:tcW w:w="3609"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color w:val="auto"/>
                <w:sz w:val="20"/>
                <w:szCs w:val="20"/>
              </w:rPr>
              <w:t>使学生对经济学的基本问题和基本观点有比较全面的认识，能够建立起经济学的基本思维框架，正确领会和理解经济运行的逻辑关系和基本规律，能够对经济问题和经济现象进行简单分析，具备初步分析能力。</w:t>
            </w:r>
          </w:p>
        </w:tc>
        <w:tc>
          <w:tcPr>
            <w:tcW w:w="4114" w:type="dxa"/>
            <w:shd w:val="clear" w:color="auto" w:fill="auto"/>
            <w:vAlign w:val="center"/>
          </w:tcPr>
          <w:p>
            <w:pPr>
              <w:widowControl/>
              <w:adjustRightInd w:val="0"/>
              <w:snapToGrid w:val="0"/>
              <w:spacing w:line="240" w:lineRule="exact"/>
              <w:ind w:firstLine="400" w:firstLineChars="200"/>
              <w:rPr>
                <w:rFonts w:hint="eastAsia" w:ascii="仿宋" w:hAnsi="仿宋" w:eastAsia="仿宋" w:cs="仿宋"/>
                <w:color w:val="auto"/>
                <w:sz w:val="20"/>
                <w:szCs w:val="20"/>
              </w:rPr>
            </w:pPr>
            <w:r>
              <w:rPr>
                <w:rFonts w:hint="eastAsia" w:ascii="仿宋" w:hAnsi="仿宋" w:eastAsia="仿宋" w:cs="仿宋"/>
                <w:color w:val="auto"/>
                <w:sz w:val="20"/>
                <w:szCs w:val="20"/>
              </w:rPr>
              <w:t>需求与供给关系、消费者行为理论、生产者行为理论、政府进行宏观经济调控的财政政策和货币政策、市场均衡、经济增长和国际经济、市场失灵与微观经济政策、简单国民收入的决定理论、通货膨胀、失业的经济学解释、经济周期的含义与类型使学生掌握经济学的基本概念、基本思想、基本分析方法和基本理论，明确经济学的总体内容、主要结论和应用条件</w:t>
            </w:r>
          </w:p>
          <w:p>
            <w:pPr>
              <w:shd w:val="clear"/>
              <w:adjustRightInd w:val="0"/>
              <w:snapToGrid w:val="0"/>
              <w:spacing w:line="240" w:lineRule="exact"/>
              <w:ind w:firstLine="360" w:firstLineChars="200"/>
              <w:jc w:val="left"/>
              <w:rPr>
                <w:rFonts w:ascii="宋体" w:hAnsi="宋体" w:eastAsia="宋体" w:cs="宋体"/>
                <w:color w:val="auto"/>
                <w:sz w:val="18"/>
                <w:szCs w:val="18"/>
                <w:highlight w:val="none"/>
                <w:shd w:val="clear" w:color="auto" w:fill="auto"/>
              </w:rPr>
            </w:pP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089"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3</w:t>
            </w:r>
          </w:p>
        </w:tc>
        <w:tc>
          <w:tcPr>
            <w:tcW w:w="138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宋体" w:hAnsi="宋体" w:eastAsia="宋体" w:cs="宋体"/>
                <w:b/>
                <w:color w:val="auto"/>
                <w:kern w:val="0"/>
                <w:sz w:val="18"/>
                <w:szCs w:val="18"/>
                <w:highlight w:val="none"/>
                <w:shd w:val="clear" w:color="auto" w:fill="auto"/>
              </w:rPr>
            </w:pPr>
            <w:r>
              <w:rPr>
                <w:rFonts w:hint="eastAsia" w:ascii="仿宋" w:hAnsi="仿宋" w:eastAsia="仿宋" w:cs="仿宋"/>
                <w:color w:val="auto"/>
                <w:sz w:val="20"/>
                <w:szCs w:val="20"/>
              </w:rPr>
              <w:t>基础会计</w:t>
            </w:r>
          </w:p>
        </w:tc>
        <w:tc>
          <w:tcPr>
            <w:tcW w:w="3609"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color w:val="auto"/>
                <w:sz w:val="20"/>
                <w:szCs w:val="20"/>
              </w:rPr>
              <w:t>使学生了解会计的基本理论、基础知识和基本技能，掌握会计的概念、特点、对象和原则，掌握会计核算的基本方法和会计信息的按搜集、整理分类、汇总等全过程，掌握会计的基本操作技能。</w:t>
            </w:r>
          </w:p>
        </w:tc>
        <w:tc>
          <w:tcPr>
            <w:tcW w:w="4114" w:type="dxa"/>
            <w:shd w:val="clear" w:color="auto" w:fill="auto"/>
            <w:vAlign w:val="center"/>
          </w:tcPr>
          <w:p>
            <w:pPr>
              <w:widowControl/>
              <w:adjustRightInd w:val="0"/>
              <w:snapToGrid w:val="0"/>
              <w:spacing w:line="240" w:lineRule="exact"/>
              <w:ind w:firstLine="400" w:firstLineChars="200"/>
              <w:rPr>
                <w:rFonts w:hint="eastAsia" w:ascii="仿宋" w:hAnsi="仿宋" w:eastAsia="仿宋" w:cs="仿宋"/>
                <w:color w:val="auto"/>
                <w:sz w:val="20"/>
                <w:szCs w:val="20"/>
              </w:rPr>
            </w:pPr>
            <w:r>
              <w:rPr>
                <w:rFonts w:hint="eastAsia" w:ascii="仿宋" w:hAnsi="仿宋" w:eastAsia="仿宋" w:cs="仿宋"/>
                <w:color w:val="auto"/>
                <w:sz w:val="20"/>
                <w:szCs w:val="20"/>
              </w:rPr>
              <w:t>会计的发展与会计目标、会计要素与会计等式、账户设置、复式记账、会计凭证、会计账簿、一般企业主要交易和事项的账务处理、成本计算、财产清查、财务报告。</w:t>
            </w:r>
          </w:p>
          <w:p>
            <w:pPr>
              <w:shd w:val="clear"/>
              <w:adjustRightInd w:val="0"/>
              <w:snapToGrid w:val="0"/>
              <w:spacing w:line="240" w:lineRule="exact"/>
              <w:ind w:firstLine="360" w:firstLineChars="200"/>
              <w:jc w:val="left"/>
              <w:rPr>
                <w:rFonts w:ascii="宋体" w:hAnsi="宋体" w:eastAsia="宋体" w:cs="宋体"/>
                <w:color w:val="auto"/>
                <w:sz w:val="18"/>
                <w:szCs w:val="18"/>
                <w:highlight w:val="none"/>
                <w:shd w:val="clear" w:color="auto" w:fill="auto"/>
              </w:rPr>
            </w:pP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791"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4</w:t>
            </w:r>
          </w:p>
        </w:tc>
        <w:tc>
          <w:tcPr>
            <w:tcW w:w="138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宋体" w:hAnsi="宋体" w:eastAsia="宋体" w:cs="宋体"/>
                <w:b/>
                <w:color w:val="auto"/>
                <w:kern w:val="0"/>
                <w:sz w:val="18"/>
                <w:szCs w:val="18"/>
                <w:highlight w:val="none"/>
                <w:shd w:val="clear" w:color="auto" w:fill="auto"/>
              </w:rPr>
            </w:pPr>
            <w:r>
              <w:rPr>
                <w:rFonts w:hint="eastAsia" w:ascii="仿宋" w:hAnsi="仿宋" w:eastAsia="仿宋" w:cs="仿宋"/>
                <w:color w:val="auto"/>
                <w:sz w:val="20"/>
                <w:szCs w:val="20"/>
                <w:lang w:eastAsia="zh-CN"/>
              </w:rPr>
              <w:t>管理基础</w:t>
            </w:r>
          </w:p>
        </w:tc>
        <w:tc>
          <w:tcPr>
            <w:tcW w:w="3609"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color w:val="auto"/>
                <w:sz w:val="20"/>
                <w:szCs w:val="20"/>
              </w:rPr>
              <w:t>通过本课程的学习使学生全面系统的掌握现代管理的基本理论和方法，明确管理职能的相关内容和相互关系，理解并掌握各项职能的相关方法和技术，对管理实践问题进行分析和决策，能够结合相关案例今夕分析、研究，培养学生在管理方面的应用能力和创新能力。</w:t>
            </w:r>
          </w:p>
        </w:tc>
        <w:tc>
          <w:tcPr>
            <w:tcW w:w="4114"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color w:val="auto"/>
                <w:sz w:val="20"/>
                <w:szCs w:val="20"/>
              </w:rPr>
              <w:t>管理概述、管理理论、管理职能（计划、组织、领导、控制）</w:t>
            </w: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459"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5</w:t>
            </w:r>
          </w:p>
        </w:tc>
        <w:tc>
          <w:tcPr>
            <w:tcW w:w="138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b/>
                <w:color w:val="auto"/>
                <w:sz w:val="18"/>
                <w:szCs w:val="18"/>
                <w:highlight w:val="none"/>
                <w:shd w:val="clear" w:color="auto" w:fill="auto"/>
              </w:rPr>
            </w:pPr>
            <w:r>
              <w:rPr>
                <w:rFonts w:hint="eastAsia" w:ascii="仿宋" w:hAnsi="仿宋" w:eastAsia="仿宋" w:cs="仿宋"/>
                <w:color w:val="auto"/>
                <w:sz w:val="20"/>
                <w:szCs w:val="20"/>
              </w:rPr>
              <w:t>电子商务</w:t>
            </w:r>
            <w:r>
              <w:rPr>
                <w:rFonts w:hint="eastAsia" w:ascii="仿宋" w:hAnsi="仿宋" w:eastAsia="仿宋" w:cs="仿宋"/>
                <w:color w:val="auto"/>
                <w:sz w:val="20"/>
                <w:szCs w:val="20"/>
                <w:lang w:eastAsia="zh-CN"/>
              </w:rPr>
              <w:t>基础</w:t>
            </w:r>
          </w:p>
        </w:tc>
        <w:tc>
          <w:tcPr>
            <w:tcW w:w="3609"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color w:val="auto"/>
                <w:sz w:val="20"/>
                <w:szCs w:val="20"/>
              </w:rPr>
              <w:t>使学生掌握电子商务的基本概念，掌握电子商务的商业流程和电子商务实践，提高对电子商务的认识，提高对电子商务交易流程有个整体认识。</w:t>
            </w:r>
          </w:p>
        </w:tc>
        <w:tc>
          <w:tcPr>
            <w:tcW w:w="4114"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color w:val="auto"/>
                <w:sz w:val="20"/>
                <w:szCs w:val="20"/>
              </w:rPr>
              <w:t>电子商务概念、电子商务的产生与发展、电子商务商业模式与实际运营、EDI商务、网上支付安全交易、网络营销概述、 电子商务与物流、 移动电子商务、电子商务法律法规、企业电子商务应用。</w:t>
            </w: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201"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6</w:t>
            </w:r>
          </w:p>
        </w:tc>
        <w:tc>
          <w:tcPr>
            <w:tcW w:w="138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宋体" w:hAnsi="宋体" w:eastAsia="宋体" w:cs="宋体"/>
                <w:b/>
                <w:color w:val="auto"/>
                <w:sz w:val="18"/>
                <w:szCs w:val="18"/>
                <w:highlight w:val="none"/>
                <w:shd w:val="clear" w:color="auto" w:fill="auto"/>
              </w:rPr>
            </w:pPr>
            <w:r>
              <w:rPr>
                <w:rFonts w:hint="eastAsia" w:ascii="仿宋" w:hAnsi="仿宋" w:eastAsia="仿宋" w:cs="仿宋"/>
                <w:color w:val="auto"/>
                <w:sz w:val="20"/>
                <w:szCs w:val="20"/>
              </w:rPr>
              <w:t>电子商务物流</w:t>
            </w:r>
          </w:p>
        </w:tc>
        <w:tc>
          <w:tcPr>
            <w:tcW w:w="3609" w:type="dxa"/>
            <w:shd w:val="clear" w:color="auto" w:fill="auto"/>
            <w:vAlign w:val="center"/>
          </w:tcPr>
          <w:p>
            <w:pPr>
              <w:shd w:val="clear"/>
              <w:adjustRightInd w:val="0"/>
              <w:snapToGrid w:val="0"/>
              <w:spacing w:line="240" w:lineRule="exact"/>
              <w:ind w:firstLine="400" w:firstLineChars="200"/>
              <w:jc w:val="left"/>
              <w:rPr>
                <w:rFonts w:cs="宋体" w:asciiTheme="minorEastAsia" w:hAnsiTheme="minorEastAsia"/>
                <w:color w:val="auto"/>
                <w:sz w:val="18"/>
                <w:szCs w:val="18"/>
                <w:highlight w:val="none"/>
                <w:shd w:val="clear" w:color="auto" w:fill="auto"/>
              </w:rPr>
            </w:pPr>
            <w:r>
              <w:rPr>
                <w:rFonts w:hint="eastAsia" w:ascii="仿宋" w:hAnsi="仿宋" w:eastAsia="仿宋" w:cs="仿宋"/>
                <w:color w:val="auto"/>
                <w:sz w:val="20"/>
                <w:szCs w:val="20"/>
              </w:rPr>
              <w:t>使学生掌握物流运输管理的基本知识与物流运输作业与管理的基本技能，树立从实际出发降低物流成本提高利润的观念，能对现代物流企业的运作利用管理学和经济学知识进行分析，掌握物流管理方法，初步具有物流仓储管理和运输配送的能力</w:t>
            </w:r>
          </w:p>
        </w:tc>
        <w:tc>
          <w:tcPr>
            <w:tcW w:w="4114" w:type="dxa"/>
            <w:shd w:val="clear" w:color="auto" w:fill="auto"/>
            <w:vAlign w:val="center"/>
          </w:tcPr>
          <w:p>
            <w:pPr>
              <w:widowControl/>
              <w:adjustRightInd w:val="0"/>
              <w:snapToGrid w:val="0"/>
              <w:spacing w:line="240" w:lineRule="exact"/>
              <w:ind w:firstLine="400" w:firstLineChars="200"/>
              <w:rPr>
                <w:rFonts w:hint="eastAsia" w:ascii="仿宋" w:hAnsi="仿宋" w:eastAsia="仿宋" w:cs="仿宋"/>
                <w:color w:val="auto"/>
                <w:sz w:val="20"/>
                <w:szCs w:val="20"/>
              </w:rPr>
            </w:pPr>
            <w:r>
              <w:rPr>
                <w:rFonts w:hint="eastAsia" w:ascii="仿宋" w:hAnsi="仿宋" w:eastAsia="仿宋" w:cs="仿宋"/>
                <w:color w:val="auto"/>
                <w:sz w:val="20"/>
                <w:szCs w:val="20"/>
              </w:rPr>
              <w:t>电子商务物流概论、运输管理、仓储管理、产品包装与装卸搬运、电子商务物流配送及配送中心、供应链管理、电子商务物流技术、第三方物流、EC物流服务与成本管理电子商务物流。</w:t>
            </w:r>
          </w:p>
          <w:p>
            <w:pPr>
              <w:shd w:val="clear"/>
              <w:adjustRightInd w:val="0"/>
              <w:snapToGrid w:val="0"/>
              <w:spacing w:line="240" w:lineRule="exact"/>
              <w:ind w:firstLine="360" w:firstLineChars="200"/>
              <w:jc w:val="left"/>
              <w:rPr>
                <w:rFonts w:cs="宋体" w:asciiTheme="minorEastAsia" w:hAnsiTheme="minorEastAsia"/>
                <w:color w:val="auto"/>
                <w:sz w:val="18"/>
                <w:szCs w:val="18"/>
                <w:highlight w:val="none"/>
                <w:shd w:val="clear" w:color="auto" w:fill="auto"/>
              </w:rPr>
            </w:pP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90"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7</w:t>
            </w:r>
          </w:p>
        </w:tc>
        <w:tc>
          <w:tcPr>
            <w:tcW w:w="138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宋体" w:hAnsi="宋体" w:eastAsia="宋体" w:cs="宋体"/>
                <w:b/>
                <w:color w:val="auto"/>
                <w:sz w:val="18"/>
                <w:szCs w:val="18"/>
                <w:highlight w:val="none"/>
                <w:shd w:val="clear" w:color="auto" w:fill="auto"/>
              </w:rPr>
            </w:pPr>
            <w:r>
              <w:rPr>
                <w:rFonts w:hint="eastAsia" w:ascii="仿宋" w:hAnsi="仿宋" w:eastAsia="仿宋" w:cs="仿宋"/>
                <w:color w:val="auto"/>
                <w:sz w:val="20"/>
                <w:szCs w:val="20"/>
              </w:rPr>
              <w:t>新媒体营销</w:t>
            </w:r>
          </w:p>
        </w:tc>
        <w:tc>
          <w:tcPr>
            <w:tcW w:w="3609"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bCs/>
                <w:color w:val="auto"/>
                <w:sz w:val="20"/>
                <w:szCs w:val="20"/>
              </w:rPr>
              <w:t>通过主流营销平台，搭建一个具备图片处理、文案撰写、表单制作、活动策划、营销推广、数据分析等相关技能训练的平台，通过训练新媒体营销的必备技能，帮助学生成为具备主流新媒体平台推广和运营技巧的新媒体营销人才。</w:t>
            </w:r>
          </w:p>
        </w:tc>
        <w:tc>
          <w:tcPr>
            <w:tcW w:w="4114" w:type="dxa"/>
            <w:shd w:val="clear" w:color="auto" w:fill="auto"/>
            <w:vAlign w:val="center"/>
          </w:tcPr>
          <w:p>
            <w:pPr>
              <w:widowControl/>
              <w:adjustRightInd w:val="0"/>
              <w:snapToGrid w:val="0"/>
              <w:spacing w:line="240" w:lineRule="exact"/>
              <w:ind w:firstLine="400" w:firstLineChars="200"/>
              <w:rPr>
                <w:rFonts w:hint="eastAsia" w:ascii="仿宋" w:hAnsi="仿宋" w:eastAsia="仿宋" w:cs="仿宋"/>
                <w:color w:val="auto"/>
                <w:sz w:val="20"/>
                <w:szCs w:val="20"/>
              </w:rPr>
            </w:pPr>
            <w:r>
              <w:rPr>
                <w:rFonts w:hint="eastAsia" w:ascii="仿宋" w:hAnsi="仿宋" w:eastAsia="仿宋" w:cs="仿宋"/>
                <w:color w:val="auto"/>
                <w:sz w:val="20"/>
                <w:szCs w:val="20"/>
              </w:rPr>
              <w:t>了解新媒体发展趋势和社交网络特性；掌握运用移动商务平台进行活动策划、营销推广、移动店铺的运营与管理；根据后台数据完成 促销活动、品牌推广活动和移动营销活动。</w:t>
            </w:r>
          </w:p>
          <w:p>
            <w:pPr>
              <w:shd w:val="clear"/>
              <w:adjustRightInd w:val="0"/>
              <w:snapToGrid w:val="0"/>
              <w:spacing w:line="240" w:lineRule="exact"/>
              <w:ind w:firstLine="360" w:firstLineChars="200"/>
              <w:jc w:val="left"/>
              <w:rPr>
                <w:rFonts w:ascii="宋体" w:hAnsi="宋体" w:eastAsia="宋体" w:cs="宋体"/>
                <w:color w:val="auto"/>
                <w:sz w:val="18"/>
                <w:szCs w:val="18"/>
                <w:highlight w:val="none"/>
                <w:shd w:val="clear" w:color="auto" w:fill="auto"/>
              </w:rPr>
            </w:pP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066"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8</w:t>
            </w:r>
          </w:p>
        </w:tc>
        <w:tc>
          <w:tcPr>
            <w:tcW w:w="138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宋体" w:hAnsi="宋体" w:eastAsia="宋体" w:cs="宋体"/>
                <w:b/>
                <w:color w:val="auto"/>
                <w:sz w:val="18"/>
                <w:szCs w:val="18"/>
                <w:highlight w:val="none"/>
                <w:shd w:val="clear" w:color="auto" w:fill="auto"/>
              </w:rPr>
            </w:pPr>
            <w:r>
              <w:rPr>
                <w:rFonts w:hint="eastAsia" w:ascii="仿宋" w:hAnsi="仿宋" w:eastAsia="仿宋" w:cs="仿宋"/>
                <w:color w:val="auto"/>
                <w:sz w:val="20"/>
                <w:szCs w:val="20"/>
              </w:rPr>
              <w:t>市场</w:t>
            </w:r>
            <w:r>
              <w:rPr>
                <w:rFonts w:hint="eastAsia" w:ascii="仿宋" w:hAnsi="仿宋" w:eastAsia="仿宋" w:cs="仿宋"/>
                <w:color w:val="auto"/>
                <w:sz w:val="20"/>
                <w:szCs w:val="20"/>
                <w:lang w:eastAsia="zh-CN"/>
              </w:rPr>
              <w:t>调研与分析</w:t>
            </w:r>
          </w:p>
        </w:tc>
        <w:tc>
          <w:tcPr>
            <w:tcW w:w="3609"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color w:val="auto"/>
                <w:sz w:val="20"/>
                <w:szCs w:val="20"/>
              </w:rPr>
              <w:t>使学生了解市场调查的工作流程，掌握市场调查的主要理论与方法，培养开展市场调查、分析、预测和解决相关市场问题的能力。</w:t>
            </w:r>
          </w:p>
        </w:tc>
        <w:tc>
          <w:tcPr>
            <w:tcW w:w="4114" w:type="dxa"/>
            <w:shd w:val="clear" w:color="auto" w:fill="auto"/>
            <w:vAlign w:val="center"/>
          </w:tcPr>
          <w:p>
            <w:pPr>
              <w:widowControl/>
              <w:adjustRightInd w:val="0"/>
              <w:snapToGrid w:val="0"/>
              <w:spacing w:line="240" w:lineRule="exact"/>
              <w:ind w:firstLine="400" w:firstLineChars="200"/>
              <w:rPr>
                <w:rFonts w:hint="eastAsia" w:ascii="仿宋" w:hAnsi="仿宋" w:eastAsia="仿宋" w:cs="仿宋"/>
                <w:color w:val="auto"/>
                <w:sz w:val="20"/>
                <w:szCs w:val="20"/>
              </w:rPr>
            </w:pPr>
            <w:r>
              <w:rPr>
                <w:rFonts w:hint="eastAsia" w:ascii="仿宋" w:hAnsi="仿宋" w:eastAsia="仿宋" w:cs="仿宋"/>
                <w:color w:val="auto"/>
                <w:sz w:val="20"/>
                <w:szCs w:val="20"/>
              </w:rPr>
              <w:t>市场调查与预测的作用、方式和步骤；市场抽样调查、文案调查、市场观察与访问、问卷调查、实验调查等方法；市场预测的类型和步骤；判断分析、时间序列、相关回归分析等预测方法。</w:t>
            </w:r>
          </w:p>
          <w:p>
            <w:pPr>
              <w:shd w:val="clear"/>
              <w:adjustRightInd w:val="0"/>
              <w:snapToGrid w:val="0"/>
              <w:spacing w:line="240" w:lineRule="exact"/>
              <w:ind w:firstLine="360" w:firstLineChars="200"/>
              <w:jc w:val="left"/>
              <w:rPr>
                <w:rFonts w:ascii="宋体" w:hAnsi="宋体" w:eastAsia="宋体" w:cs="宋体"/>
                <w:color w:val="auto"/>
                <w:sz w:val="18"/>
                <w:szCs w:val="18"/>
                <w:highlight w:val="none"/>
                <w:shd w:val="clear" w:color="auto" w:fill="auto"/>
              </w:rPr>
            </w:pP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085"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9</w:t>
            </w:r>
          </w:p>
        </w:tc>
        <w:tc>
          <w:tcPr>
            <w:tcW w:w="138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宋体" w:hAnsi="宋体" w:eastAsia="宋体" w:cs="宋体"/>
                <w:b/>
                <w:color w:val="auto"/>
                <w:sz w:val="18"/>
                <w:szCs w:val="18"/>
                <w:highlight w:val="none"/>
                <w:shd w:val="clear" w:color="auto" w:fill="auto"/>
              </w:rPr>
            </w:pPr>
            <w:r>
              <w:rPr>
                <w:rFonts w:hint="eastAsia" w:ascii="仿宋" w:hAnsi="仿宋" w:eastAsia="仿宋" w:cs="仿宋"/>
                <w:color w:val="auto"/>
                <w:sz w:val="20"/>
                <w:szCs w:val="20"/>
              </w:rPr>
              <w:t>网页</w:t>
            </w:r>
            <w:r>
              <w:rPr>
                <w:rFonts w:hint="eastAsia" w:ascii="仿宋" w:hAnsi="仿宋" w:eastAsia="仿宋" w:cs="仿宋"/>
                <w:color w:val="auto"/>
                <w:sz w:val="20"/>
                <w:szCs w:val="20"/>
                <w:lang w:eastAsia="zh-CN"/>
              </w:rPr>
              <w:t>制作</w:t>
            </w:r>
            <w:r>
              <w:rPr>
                <w:rFonts w:hint="eastAsia" w:ascii="仿宋" w:hAnsi="仿宋" w:eastAsia="仿宋" w:cs="仿宋"/>
                <w:color w:val="auto"/>
                <w:sz w:val="20"/>
                <w:szCs w:val="20"/>
                <w:lang w:val="en-US" w:eastAsia="zh-CN"/>
              </w:rPr>
              <w:t xml:space="preserve"> </w:t>
            </w:r>
          </w:p>
        </w:tc>
        <w:tc>
          <w:tcPr>
            <w:tcW w:w="3609"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color w:val="auto"/>
                <w:sz w:val="20"/>
                <w:szCs w:val="20"/>
              </w:rPr>
              <w:t>使学生掌握简单网页的制作和网页动画制作；能熟练创建本地站点并能在网页中设置各种超链接，具有网页设计与制作的基本职业能力。</w:t>
            </w:r>
          </w:p>
        </w:tc>
        <w:tc>
          <w:tcPr>
            <w:tcW w:w="4114" w:type="dxa"/>
            <w:shd w:val="clear" w:color="auto" w:fill="auto"/>
            <w:vAlign w:val="center"/>
          </w:tcPr>
          <w:p>
            <w:pPr>
              <w:widowControl/>
              <w:adjustRightInd w:val="0"/>
              <w:snapToGrid w:val="0"/>
              <w:spacing w:line="240" w:lineRule="exact"/>
              <w:ind w:firstLine="400" w:firstLineChars="200"/>
              <w:rPr>
                <w:rFonts w:hint="eastAsia" w:ascii="仿宋" w:hAnsi="仿宋" w:eastAsia="仿宋" w:cs="仿宋"/>
                <w:color w:val="auto"/>
                <w:sz w:val="20"/>
                <w:szCs w:val="20"/>
              </w:rPr>
            </w:pPr>
            <w:r>
              <w:rPr>
                <w:rFonts w:hint="eastAsia" w:ascii="仿宋" w:hAnsi="仿宋" w:eastAsia="仿宋" w:cs="仿宋"/>
                <w:color w:val="auto"/>
                <w:sz w:val="20"/>
                <w:szCs w:val="20"/>
              </w:rPr>
              <w:t>网页制作基本理论、规划网站结构的能力、利用表格进行页面布局的能力、编辑文本与编辑图像的能力、创建网页超级链接的能力、李荣框架制作页面的能力、创建动态网页的能力、制作交互页面的能力、同一网站风格、提高工作效率的能力。</w:t>
            </w:r>
          </w:p>
          <w:p>
            <w:pPr>
              <w:shd w:val="clear"/>
              <w:adjustRightInd w:val="0"/>
              <w:snapToGrid w:val="0"/>
              <w:spacing w:line="240" w:lineRule="exact"/>
              <w:ind w:firstLine="360" w:firstLineChars="200"/>
              <w:jc w:val="left"/>
              <w:rPr>
                <w:rFonts w:ascii="宋体" w:hAnsi="宋体" w:eastAsia="宋体" w:cs="宋体"/>
                <w:color w:val="auto"/>
                <w:sz w:val="18"/>
                <w:szCs w:val="18"/>
                <w:highlight w:val="none"/>
                <w:shd w:val="clear" w:color="auto" w:fill="auto"/>
              </w:rPr>
            </w:pP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703"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kern w:val="0"/>
                <w:sz w:val="18"/>
                <w:szCs w:val="18"/>
                <w:highlight w:val="none"/>
                <w:shd w:val="clear" w:color="auto" w:fill="auto"/>
              </w:rPr>
              <w:t>10</w:t>
            </w:r>
          </w:p>
        </w:tc>
        <w:tc>
          <w:tcPr>
            <w:tcW w:w="1383" w:type="dxa"/>
            <w:shd w:val="clear" w:color="auto" w:fill="auto"/>
            <w:vAlign w:val="top"/>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 w:hAnsi="仿宋" w:eastAsia="仿宋" w:cs="仿宋"/>
                <w:color w:val="auto"/>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宋体" w:hAnsi="宋体" w:eastAsia="宋体" w:cs="宋体"/>
                <w:b/>
                <w:color w:val="auto"/>
                <w:sz w:val="18"/>
                <w:szCs w:val="18"/>
                <w:highlight w:val="none"/>
                <w:shd w:val="clear" w:color="auto" w:fill="auto"/>
              </w:rPr>
            </w:pPr>
            <w:r>
              <w:rPr>
                <w:rFonts w:hint="eastAsia" w:ascii="仿宋" w:hAnsi="仿宋" w:eastAsia="仿宋" w:cs="仿宋"/>
                <w:color w:val="auto"/>
                <w:sz w:val="20"/>
                <w:szCs w:val="20"/>
              </w:rPr>
              <w:t>跨境</w:t>
            </w:r>
            <w:r>
              <w:rPr>
                <w:rFonts w:hint="eastAsia" w:ascii="仿宋" w:hAnsi="仿宋" w:eastAsia="仿宋" w:cs="仿宋"/>
                <w:color w:val="auto"/>
                <w:sz w:val="20"/>
                <w:szCs w:val="20"/>
                <w:lang w:eastAsia="zh-CN"/>
              </w:rPr>
              <w:t>电子商务</w:t>
            </w:r>
          </w:p>
        </w:tc>
        <w:tc>
          <w:tcPr>
            <w:tcW w:w="3609"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color w:val="auto"/>
                <w:sz w:val="20"/>
                <w:szCs w:val="20"/>
              </w:rPr>
              <w:t>使学生掌握跨境贸易电子商务的基本概念</w:t>
            </w:r>
            <w:r>
              <w:rPr>
                <w:rFonts w:hint="eastAsia" w:ascii="仿宋" w:hAnsi="仿宋" w:eastAsia="仿宋" w:cs="仿宋"/>
                <w:color w:val="auto"/>
                <w:sz w:val="20"/>
                <w:szCs w:val="20"/>
                <w:lang w:eastAsia="zh-CN"/>
              </w:rPr>
              <w:t>及</w:t>
            </w:r>
            <w:r>
              <w:rPr>
                <w:rFonts w:hint="eastAsia" w:ascii="仿宋" w:hAnsi="仿宋" w:eastAsia="仿宋" w:cs="仿宋"/>
                <w:color w:val="auto"/>
                <w:sz w:val="20"/>
                <w:szCs w:val="20"/>
              </w:rPr>
              <w:t>政策；掌握跨境第三方平台规则；掌握跨境电商操作基本流程，具有跨境店铺运营管理、客服和电商操作技能等业务能力。</w:t>
            </w:r>
          </w:p>
        </w:tc>
        <w:tc>
          <w:tcPr>
            <w:tcW w:w="4114" w:type="dxa"/>
            <w:shd w:val="clear" w:color="auto" w:fill="auto"/>
            <w:vAlign w:val="center"/>
          </w:tcPr>
          <w:p>
            <w:pPr>
              <w:widowControl/>
              <w:adjustRightInd w:val="0"/>
              <w:snapToGrid w:val="0"/>
              <w:spacing w:line="240" w:lineRule="exact"/>
              <w:ind w:firstLine="400" w:firstLineChars="200"/>
              <w:rPr>
                <w:rFonts w:hint="eastAsia" w:ascii="仿宋" w:hAnsi="仿宋" w:eastAsia="仿宋" w:cs="仿宋"/>
                <w:color w:val="auto"/>
                <w:sz w:val="20"/>
                <w:szCs w:val="20"/>
              </w:rPr>
            </w:pPr>
            <w:r>
              <w:rPr>
                <w:rFonts w:hint="eastAsia" w:ascii="仿宋" w:hAnsi="仿宋" w:eastAsia="仿宋" w:cs="仿宋"/>
                <w:color w:val="auto"/>
                <w:sz w:val="20"/>
                <w:szCs w:val="20"/>
              </w:rPr>
              <w:t>跨境电商概述、跨境平台规则、跨境店铺、跨境电商选品、跨境平台市场营销、视觉设计、数据分析、客户服务、跨境物流、收付款。</w:t>
            </w:r>
          </w:p>
          <w:p>
            <w:pPr>
              <w:shd w:val="clear"/>
              <w:adjustRightInd w:val="0"/>
              <w:snapToGrid w:val="0"/>
              <w:spacing w:line="240" w:lineRule="exact"/>
              <w:ind w:firstLine="360" w:firstLineChars="200"/>
              <w:jc w:val="left"/>
              <w:rPr>
                <w:rFonts w:ascii="宋体" w:hAnsi="宋体" w:eastAsia="宋体" w:cs="宋体"/>
                <w:color w:val="auto"/>
                <w:sz w:val="18"/>
                <w:szCs w:val="18"/>
                <w:highlight w:val="none"/>
                <w:shd w:val="clear" w:color="auto" w:fill="auto"/>
              </w:rPr>
            </w:pP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90"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11</w:t>
            </w:r>
          </w:p>
        </w:tc>
        <w:tc>
          <w:tcPr>
            <w:tcW w:w="1383" w:type="dxa"/>
            <w:shd w:val="clear" w:color="auto" w:fill="auto"/>
            <w:vAlign w:val="center"/>
          </w:tcPr>
          <w:p>
            <w:pPr>
              <w:widowControl/>
              <w:adjustRightInd w:val="0"/>
              <w:snapToGrid w:val="0"/>
              <w:spacing w:line="240" w:lineRule="exact"/>
              <w:rPr>
                <w:rFonts w:ascii="宋体" w:hAnsi="宋体" w:eastAsia="宋体" w:cs="宋体"/>
                <w:b/>
                <w:color w:val="auto"/>
                <w:sz w:val="18"/>
                <w:szCs w:val="18"/>
                <w:highlight w:val="none"/>
                <w:shd w:val="clear" w:color="auto" w:fill="auto"/>
              </w:rPr>
            </w:pPr>
            <w:r>
              <w:rPr>
                <w:rFonts w:hint="eastAsia" w:ascii="仿宋" w:hAnsi="仿宋" w:eastAsia="仿宋" w:cs="仿宋"/>
                <w:color w:val="auto"/>
                <w:kern w:val="2"/>
                <w:sz w:val="20"/>
                <w:szCs w:val="20"/>
                <w:lang w:val="en-US" w:eastAsia="zh-CN" w:bidi="ar-SA"/>
              </w:rPr>
              <w:t>零售门店 O2O 运营</w:t>
            </w:r>
          </w:p>
        </w:tc>
        <w:tc>
          <w:tcPr>
            <w:tcW w:w="3609"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b w:val="0"/>
                <w:bCs w:val="0"/>
                <w:color w:val="auto"/>
                <w:kern w:val="2"/>
                <w:sz w:val="20"/>
                <w:szCs w:val="20"/>
                <w:lang w:val="en-US" w:eastAsia="zh-CN" w:bidi="ar-SA"/>
              </w:rPr>
              <w:t>通过本课程的学习，使学生全面、深入地理解零售门店 O2O 运营的模式、渠道、商品、营销、数据和技术等方面的理论知识，形成系统的知识体系。培养学生运用所学知识进行实际操作的能力，包括商品规划、营销策划、数据分析、系统搭建等，能够独立完成 O2O 运营的各项任务。</w:t>
            </w:r>
          </w:p>
        </w:tc>
        <w:tc>
          <w:tcPr>
            <w:tcW w:w="4114" w:type="dxa"/>
            <w:shd w:val="clear" w:color="auto" w:fill="auto"/>
            <w:vAlign w:val="center"/>
          </w:tcPr>
          <w:p>
            <w:pPr>
              <w:widowControl/>
              <w:adjustRightInd w:val="0"/>
              <w:snapToGrid w:val="0"/>
              <w:spacing w:line="240" w:lineRule="exact"/>
              <w:ind w:firstLine="400" w:firstLineChars="200"/>
              <w:rPr>
                <w:rFonts w:hint="eastAsia" w:ascii="仿宋" w:hAnsi="仿宋" w:eastAsia="仿宋" w:cs="仿宋"/>
                <w:b w:val="0"/>
                <w:bCs w:val="0"/>
                <w:color w:val="auto"/>
                <w:sz w:val="20"/>
                <w:szCs w:val="20"/>
                <w:lang w:eastAsia="zh-CN"/>
              </w:rPr>
            </w:pPr>
            <w:r>
              <w:rPr>
                <w:rFonts w:hint="eastAsia" w:ascii="仿宋" w:hAnsi="仿宋" w:eastAsia="仿宋" w:cs="仿宋"/>
                <w:b w:val="0"/>
                <w:bCs w:val="0"/>
                <w:color w:val="auto"/>
                <w:sz w:val="20"/>
                <w:szCs w:val="20"/>
                <w:lang w:val="en-US" w:eastAsia="zh-CN"/>
              </w:rPr>
              <w:t>掌</w:t>
            </w:r>
            <w:r>
              <w:rPr>
                <w:rFonts w:hint="eastAsia" w:ascii="仿宋" w:hAnsi="仿宋" w:eastAsia="仿宋" w:cs="仿宋"/>
                <w:b w:val="0"/>
                <w:bCs w:val="0"/>
                <w:color w:val="auto"/>
                <w:sz w:val="20"/>
                <w:szCs w:val="20"/>
                <w:lang w:eastAsia="zh-CN"/>
              </w:rPr>
              <w:t>握电商平台和本行业特点，运用用户模型、漏斗模型，分析用户需求、细分市场及竞品，制定商品规划方案，形成商品配置策略，完成电商产品的开发；根据运营规划，制定新品全渠道促销策略，在平台或自有网站发布、调整优化商品信息；设定 O2O 运营目标，协调和整合资源，使用促销活动工具和营销产品进行全渠道活动推广；建立用户成长体系并进行精准营销</w:t>
            </w:r>
          </w:p>
          <w:p>
            <w:pPr>
              <w:shd w:val="clear"/>
              <w:adjustRightInd w:val="0"/>
              <w:snapToGrid w:val="0"/>
              <w:spacing w:line="240" w:lineRule="exact"/>
              <w:ind w:firstLine="360" w:firstLineChars="200"/>
              <w:jc w:val="left"/>
              <w:rPr>
                <w:rFonts w:ascii="宋体" w:hAnsi="宋体" w:eastAsia="宋体" w:cs="宋体"/>
                <w:color w:val="auto"/>
                <w:sz w:val="18"/>
                <w:szCs w:val="18"/>
                <w:highlight w:val="none"/>
                <w:shd w:val="clear" w:color="auto" w:fill="auto"/>
              </w:rPr>
            </w:pP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014" w:hRule="atLeast"/>
          <w:jc w:val="center"/>
        </w:trPr>
        <w:tc>
          <w:tcPr>
            <w:tcW w:w="241" w:type="pct"/>
            <w:shd w:val="clear" w:color="auto" w:fill="auto"/>
            <w:vAlign w:val="center"/>
          </w:tcPr>
          <w:p>
            <w:pPr>
              <w:widowControl/>
              <w:shd w:val="clear"/>
              <w:adjustRightInd w:val="0"/>
              <w:snapToGrid w:val="0"/>
              <w:spacing w:line="240" w:lineRule="exact"/>
              <w:jc w:val="center"/>
              <w:rPr>
                <w:rFonts w:ascii="宋体" w:hAnsi="宋体" w:eastAsia="宋体" w:cs="宋体"/>
                <w:sz w:val="18"/>
                <w:szCs w:val="18"/>
                <w:highlight w:val="none"/>
                <w:shd w:val="clear" w:color="auto" w:fill="auto"/>
              </w:rPr>
            </w:pPr>
            <w:r>
              <w:rPr>
                <w:rFonts w:hint="eastAsia" w:ascii="宋体" w:hAnsi="宋体" w:eastAsia="宋体" w:cs="宋体"/>
                <w:sz w:val="18"/>
                <w:szCs w:val="18"/>
                <w:highlight w:val="none"/>
                <w:shd w:val="clear" w:color="auto" w:fill="auto"/>
              </w:rPr>
              <w:t>12</w:t>
            </w:r>
          </w:p>
        </w:tc>
        <w:tc>
          <w:tcPr>
            <w:tcW w:w="1383" w:type="dxa"/>
            <w:shd w:val="clear" w:color="auto" w:fill="auto"/>
            <w:vAlign w:val="center"/>
          </w:tcPr>
          <w:p>
            <w:pPr>
              <w:widowControl/>
              <w:adjustRightInd w:val="0"/>
              <w:snapToGrid w:val="0"/>
              <w:spacing w:line="240" w:lineRule="exact"/>
              <w:rPr>
                <w:rFonts w:ascii="宋体" w:hAnsi="宋体" w:eastAsia="宋体" w:cs="宋体"/>
                <w:b/>
                <w:color w:val="auto"/>
                <w:sz w:val="18"/>
                <w:szCs w:val="18"/>
                <w:highlight w:val="none"/>
                <w:shd w:val="clear" w:color="auto" w:fill="auto"/>
              </w:rPr>
            </w:pPr>
            <w:r>
              <w:rPr>
                <w:rFonts w:hint="eastAsia" w:ascii="仿宋" w:hAnsi="仿宋" w:eastAsia="仿宋" w:cs="仿宋"/>
                <w:color w:val="auto"/>
                <w:kern w:val="2"/>
                <w:sz w:val="20"/>
                <w:szCs w:val="20"/>
                <w:lang w:val="en-US" w:eastAsia="zh-CN" w:bidi="ar-SA"/>
              </w:rPr>
              <w:t>图形图像处理</w:t>
            </w:r>
          </w:p>
        </w:tc>
        <w:tc>
          <w:tcPr>
            <w:tcW w:w="3609" w:type="dxa"/>
            <w:shd w:val="clear" w:color="auto" w:fill="auto"/>
            <w:vAlign w:val="center"/>
          </w:tcPr>
          <w:p>
            <w:pPr>
              <w:shd w:val="clear"/>
              <w:adjustRightInd w:val="0"/>
              <w:snapToGrid w:val="0"/>
              <w:spacing w:line="240" w:lineRule="exact"/>
              <w:ind w:firstLine="400" w:firstLineChars="200"/>
              <w:jc w:val="left"/>
              <w:rPr>
                <w:rFonts w:ascii="宋体" w:hAnsi="宋体" w:eastAsia="宋体" w:cs="宋体"/>
                <w:color w:val="auto"/>
                <w:sz w:val="18"/>
                <w:szCs w:val="18"/>
                <w:highlight w:val="none"/>
                <w:shd w:val="clear" w:color="auto" w:fill="auto"/>
              </w:rPr>
            </w:pPr>
            <w:r>
              <w:rPr>
                <w:rFonts w:hint="eastAsia" w:ascii="仿宋" w:hAnsi="仿宋" w:eastAsia="仿宋" w:cs="仿宋"/>
                <w:color w:val="auto"/>
                <w:kern w:val="2"/>
                <w:sz w:val="20"/>
                <w:szCs w:val="20"/>
                <w:lang w:val="en-US" w:eastAsia="zh-CN" w:bidi="ar-SA"/>
              </w:rPr>
              <w:t>使学生掌握图像处理的知识和技术，掌握各种工具和滤镜的使用，掌握图形处理的基本操作技能。</w:t>
            </w:r>
          </w:p>
        </w:tc>
        <w:tc>
          <w:tcPr>
            <w:tcW w:w="4114" w:type="dxa"/>
            <w:shd w:val="clear" w:color="auto" w:fill="auto"/>
            <w:vAlign w:val="center"/>
          </w:tcPr>
          <w:p>
            <w:pPr>
              <w:widowControl/>
              <w:adjustRightInd w:val="0"/>
              <w:snapToGrid w:val="0"/>
              <w:spacing w:line="240" w:lineRule="exact"/>
              <w:ind w:firstLine="400" w:firstLineChars="200"/>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图形处理的基本概念、photoshop图像处理软件的基础知识、选区操作、图层知识、绘制与编辑图像、调整图像颜色、绘制路径与形状、文本工具、通道和蒙版、滤镜效果。</w:t>
            </w:r>
          </w:p>
          <w:p>
            <w:pPr>
              <w:shd w:val="clear"/>
              <w:adjustRightInd w:val="0"/>
              <w:snapToGrid w:val="0"/>
              <w:spacing w:line="240" w:lineRule="exact"/>
              <w:ind w:firstLine="360" w:firstLineChars="200"/>
              <w:jc w:val="left"/>
              <w:rPr>
                <w:rFonts w:ascii="宋体" w:hAnsi="宋体" w:eastAsia="宋体" w:cs="宋体"/>
                <w:color w:val="auto"/>
                <w:sz w:val="18"/>
                <w:szCs w:val="18"/>
                <w:highlight w:val="none"/>
                <w:shd w:val="clear" w:color="auto" w:fill="auto"/>
              </w:rPr>
            </w:pPr>
          </w:p>
        </w:tc>
        <w:tc>
          <w:tcPr>
            <w:tcW w:w="297" w:type="pct"/>
            <w:shd w:val="clear" w:color="auto" w:fill="auto"/>
            <w:vAlign w:val="center"/>
          </w:tcPr>
          <w:p>
            <w:pPr>
              <w:widowControl/>
              <w:shd w:val="clear"/>
              <w:adjustRightInd w:val="0"/>
              <w:snapToGrid w:val="0"/>
              <w:spacing w:line="240" w:lineRule="exact"/>
              <w:jc w:val="center"/>
              <w:rPr>
                <w:rFonts w:ascii="宋体" w:hAnsi="宋体" w:eastAsia="宋体" w:cs="宋体"/>
                <w:kern w:val="0"/>
                <w:sz w:val="18"/>
                <w:szCs w:val="18"/>
                <w:highlight w:val="none"/>
                <w:shd w:val="clear" w:color="auto" w:fill="auto"/>
              </w:rPr>
            </w:pPr>
            <w:r>
              <w:rPr>
                <w:rFonts w:hint="eastAsia" w:ascii="宋体" w:hAnsi="宋体" w:eastAsia="宋体" w:cs="宋体"/>
                <w:kern w:val="0"/>
                <w:sz w:val="18"/>
                <w:szCs w:val="18"/>
                <w:highlight w:val="none"/>
                <w:shd w:val="clear" w:color="auto" w:fill="auto"/>
              </w:rPr>
              <w:t>64</w:t>
            </w:r>
          </w:p>
        </w:tc>
      </w:tr>
    </w:tbl>
    <w:p>
      <w:pPr>
        <w:widowControl/>
        <w:shd w:val="clear"/>
        <w:ind w:firstLine="560" w:firstLineChars="200"/>
        <w:jc w:val="left"/>
        <w:rPr>
          <w:rFonts w:ascii="仿宋" w:hAnsi="仿宋" w:eastAsia="仿宋" w:cs="仿宋"/>
          <w:sz w:val="28"/>
          <w:szCs w:val="28"/>
          <w:highlight w:val="none"/>
          <w:shd w:val="clear" w:color="auto" w:fill="auto"/>
        </w:rPr>
      </w:pPr>
      <w:r>
        <w:rPr>
          <w:rFonts w:hint="eastAsia" w:ascii="仿宋" w:hAnsi="仿宋" w:eastAsia="仿宋" w:cs="仿宋"/>
          <w:color w:val="000000"/>
          <w:kern w:val="0"/>
          <w:sz w:val="28"/>
          <w:szCs w:val="28"/>
          <w:highlight w:val="none"/>
          <w:shd w:val="clear" w:color="auto" w:fill="auto"/>
          <w:lang w:bidi="ar"/>
        </w:rPr>
        <w:t xml:space="preserve">(2)专业核心课程 </w:t>
      </w:r>
    </w:p>
    <w:p>
      <w:pPr>
        <w:shd w:val="clear"/>
        <w:snapToGrid w:val="0"/>
        <w:spacing w:line="440" w:lineRule="exact"/>
        <w:jc w:val="center"/>
        <w:rPr>
          <w:rFonts w:ascii="仿宋" w:hAnsi="仿宋" w:eastAsia="仿宋" w:cs="宋体"/>
          <w:b/>
          <w:kern w:val="0"/>
          <w:szCs w:val="21"/>
          <w:highlight w:val="none"/>
          <w:shd w:val="clear" w:color="auto" w:fill="auto"/>
        </w:rPr>
      </w:pPr>
      <w:r>
        <w:rPr>
          <w:rFonts w:hint="eastAsia" w:ascii="仿宋" w:hAnsi="仿宋" w:eastAsia="仿宋" w:cs="宋体"/>
          <w:b/>
          <w:kern w:val="0"/>
          <w:szCs w:val="21"/>
          <w:highlight w:val="none"/>
          <w:shd w:val="clear" w:color="auto" w:fill="auto"/>
        </w:rPr>
        <w:t>表4 专业核心课程主要教学内容与要求</w:t>
      </w:r>
    </w:p>
    <w:tbl>
      <w:tblPr>
        <w:tblStyle w:val="6"/>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633"/>
        <w:gridCol w:w="2912"/>
        <w:gridCol w:w="2875"/>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4" w:type="dxa"/>
            <w:vAlign w:val="center"/>
          </w:tcPr>
          <w:p>
            <w:pPr>
              <w:shd w:val="clear"/>
              <w:adjustRightInd w:val="0"/>
              <w:snapToGrid w:val="0"/>
              <w:jc w:val="center"/>
              <w:rPr>
                <w:rFonts w:ascii="宋体" w:hAnsi="宋体" w:eastAsia="宋体" w:cs="宋体"/>
                <w:b/>
                <w:color w:val="000000"/>
                <w:sz w:val="18"/>
                <w:szCs w:val="18"/>
                <w:highlight w:val="none"/>
                <w:shd w:val="clear" w:color="auto" w:fill="auto"/>
              </w:rPr>
            </w:pPr>
            <w:r>
              <w:rPr>
                <w:rFonts w:hint="eastAsia" w:ascii="宋体" w:hAnsi="宋体" w:eastAsia="宋体" w:cs="宋体"/>
                <w:b/>
                <w:color w:val="000000"/>
                <w:sz w:val="18"/>
                <w:szCs w:val="18"/>
                <w:highlight w:val="none"/>
                <w:shd w:val="clear" w:color="auto" w:fill="auto"/>
              </w:rPr>
              <w:t>序号</w:t>
            </w:r>
          </w:p>
        </w:tc>
        <w:tc>
          <w:tcPr>
            <w:tcW w:w="633" w:type="dxa"/>
            <w:vAlign w:val="center"/>
          </w:tcPr>
          <w:p>
            <w:pPr>
              <w:shd w:val="clear"/>
              <w:adjustRightInd w:val="0"/>
              <w:snapToGrid w:val="0"/>
              <w:jc w:val="center"/>
              <w:rPr>
                <w:rFonts w:ascii="宋体" w:hAnsi="宋体" w:eastAsia="宋体" w:cs="宋体"/>
                <w:b/>
                <w:color w:val="000000"/>
                <w:sz w:val="18"/>
                <w:szCs w:val="18"/>
                <w:highlight w:val="none"/>
                <w:shd w:val="clear" w:color="auto" w:fill="auto"/>
              </w:rPr>
            </w:pPr>
            <w:r>
              <w:rPr>
                <w:rFonts w:hint="eastAsia" w:ascii="宋体" w:hAnsi="宋体" w:eastAsia="宋体" w:cs="宋体"/>
                <w:b/>
                <w:color w:val="000000"/>
                <w:sz w:val="18"/>
                <w:szCs w:val="18"/>
                <w:highlight w:val="none"/>
                <w:shd w:val="clear" w:color="auto" w:fill="auto"/>
              </w:rPr>
              <w:t>课程名称</w:t>
            </w:r>
          </w:p>
        </w:tc>
        <w:tc>
          <w:tcPr>
            <w:tcW w:w="2912" w:type="dxa"/>
            <w:vAlign w:val="center"/>
          </w:tcPr>
          <w:p>
            <w:pPr>
              <w:shd w:val="clear"/>
              <w:adjustRightInd w:val="0"/>
              <w:snapToGrid w:val="0"/>
              <w:jc w:val="center"/>
              <w:rPr>
                <w:rFonts w:ascii="宋体" w:hAnsi="宋体" w:eastAsia="宋体" w:cs="宋体"/>
                <w:b/>
                <w:color w:val="000000"/>
                <w:sz w:val="18"/>
                <w:szCs w:val="18"/>
                <w:highlight w:val="none"/>
                <w:shd w:val="clear" w:color="auto" w:fill="auto"/>
              </w:rPr>
            </w:pPr>
            <w:r>
              <w:rPr>
                <w:rFonts w:hint="eastAsia" w:ascii="宋体" w:hAnsi="宋体" w:eastAsia="宋体" w:cs="宋体"/>
                <w:b/>
                <w:color w:val="000000"/>
                <w:sz w:val="18"/>
                <w:szCs w:val="18"/>
                <w:highlight w:val="none"/>
                <w:shd w:val="clear" w:color="auto" w:fill="auto"/>
              </w:rPr>
              <w:t>课程涉及的主要领域</w:t>
            </w:r>
          </w:p>
        </w:tc>
        <w:tc>
          <w:tcPr>
            <w:tcW w:w="2875" w:type="dxa"/>
            <w:vAlign w:val="center"/>
          </w:tcPr>
          <w:p>
            <w:pPr>
              <w:shd w:val="clear"/>
              <w:adjustRightInd w:val="0"/>
              <w:snapToGrid w:val="0"/>
              <w:jc w:val="center"/>
              <w:rPr>
                <w:rFonts w:ascii="宋体" w:hAnsi="宋体" w:eastAsia="宋体" w:cs="宋体"/>
                <w:b/>
                <w:color w:val="000000"/>
                <w:sz w:val="18"/>
                <w:szCs w:val="18"/>
                <w:highlight w:val="none"/>
                <w:shd w:val="clear" w:color="auto" w:fill="auto"/>
              </w:rPr>
            </w:pPr>
            <w:r>
              <w:rPr>
                <w:rFonts w:hint="eastAsia" w:ascii="宋体" w:hAnsi="宋体" w:eastAsia="宋体" w:cs="宋体"/>
                <w:b/>
                <w:color w:val="000000"/>
                <w:sz w:val="18"/>
                <w:szCs w:val="18"/>
                <w:highlight w:val="none"/>
                <w:shd w:val="clear" w:color="auto" w:fill="auto"/>
              </w:rPr>
              <w:t>典型工作任务描述</w:t>
            </w:r>
          </w:p>
        </w:tc>
        <w:tc>
          <w:tcPr>
            <w:tcW w:w="2773" w:type="dxa"/>
            <w:vAlign w:val="center"/>
          </w:tcPr>
          <w:p>
            <w:pPr>
              <w:shd w:val="clear"/>
              <w:adjustRightInd w:val="0"/>
              <w:snapToGrid w:val="0"/>
              <w:jc w:val="center"/>
              <w:rPr>
                <w:rFonts w:ascii="宋体" w:hAnsi="宋体" w:eastAsia="宋体" w:cs="宋体"/>
                <w:b/>
                <w:color w:val="000000"/>
                <w:sz w:val="18"/>
                <w:szCs w:val="18"/>
                <w:highlight w:val="none"/>
                <w:shd w:val="clear" w:color="auto" w:fill="auto"/>
              </w:rPr>
            </w:pPr>
            <w:r>
              <w:rPr>
                <w:rFonts w:hint="eastAsia" w:ascii="宋体" w:hAnsi="宋体" w:eastAsia="宋体" w:cs="宋体"/>
                <w:b/>
                <w:color w:val="000000"/>
                <w:sz w:val="18"/>
                <w:szCs w:val="18"/>
                <w:highlight w:val="none"/>
                <w:shd w:val="clear" w:color="auto" w:fill="auto"/>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424" w:type="dxa"/>
            <w:vAlign w:val="center"/>
          </w:tcPr>
          <w:p>
            <w:pPr>
              <w:widowControl/>
              <w:shd w:val="clear"/>
              <w:adjustRightInd w:val="0"/>
              <w:snapToGrid w:val="0"/>
              <w:spacing w:line="240" w:lineRule="exact"/>
              <w:jc w:val="center"/>
              <w:rPr>
                <w:rFonts w:ascii="宋体" w:hAnsi="宋体" w:eastAsia="宋体" w:cs="宋体"/>
                <w:color w:val="000000"/>
                <w:kern w:val="0"/>
                <w:sz w:val="18"/>
                <w:szCs w:val="18"/>
                <w:highlight w:val="none"/>
                <w:shd w:val="clear" w:color="auto" w:fill="auto"/>
                <w:lang w:bidi="ar"/>
              </w:rPr>
            </w:pPr>
            <w:r>
              <w:rPr>
                <w:rFonts w:hint="eastAsia" w:ascii="宋体" w:hAnsi="宋体" w:eastAsia="宋体" w:cs="宋体"/>
                <w:sz w:val="18"/>
                <w:szCs w:val="18"/>
                <w:highlight w:val="none"/>
                <w:shd w:val="clear" w:color="auto" w:fill="auto"/>
              </w:rPr>
              <w:t>1</w:t>
            </w:r>
          </w:p>
        </w:tc>
        <w:tc>
          <w:tcPr>
            <w:tcW w:w="633" w:type="dxa"/>
            <w:vAlign w:val="center"/>
          </w:tcPr>
          <w:p>
            <w:pPr>
              <w:widowControl/>
              <w:spacing w:line="240" w:lineRule="auto"/>
              <w:textAlignment w:val="center"/>
              <w:rPr>
                <w:rFonts w:ascii="宋体" w:hAnsi="宋体" w:eastAsia="宋体" w:cs="宋体"/>
                <w:b/>
                <w:sz w:val="18"/>
                <w:szCs w:val="18"/>
                <w:highlight w:val="none"/>
                <w:shd w:val="clear" w:color="auto" w:fill="auto"/>
              </w:rPr>
            </w:pPr>
            <w:r>
              <w:rPr>
                <w:rFonts w:hint="eastAsia" w:ascii="仿宋" w:hAnsi="仿宋" w:eastAsia="仿宋" w:cs="仿宋"/>
                <w:kern w:val="2"/>
                <w:sz w:val="20"/>
                <w:szCs w:val="20"/>
                <w:lang w:val="en-US" w:eastAsia="zh-CN" w:bidi="ar-SA"/>
              </w:rPr>
              <w:t>视频制作</w:t>
            </w:r>
          </w:p>
        </w:tc>
        <w:tc>
          <w:tcPr>
            <w:tcW w:w="2912" w:type="dxa"/>
            <w:vAlign w:val="top"/>
          </w:tcPr>
          <w:p>
            <w:pPr>
              <w:bidi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电商营销推广领域：通过精美的视频展示商品的特点、优势和使用方法，吸引消费者的关注，促进商品的销售。</w:t>
            </w:r>
          </w:p>
          <w:p>
            <w:pPr>
              <w:bidi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xml:space="preserve"> • 视觉营销设计领域：视觉营销设计课程涉及到视频在视觉呈现方面的应用。  </w:t>
            </w:r>
          </w:p>
          <w:p>
            <w:pPr>
              <w:bidi w:val="0"/>
              <w:spacing w:line="240" w:lineRule="auto"/>
              <w:jc w:val="left"/>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 数据分析支持领域：商务数据分析与应用课程为视频制作提供了数据支持。</w:t>
            </w:r>
          </w:p>
        </w:tc>
        <w:tc>
          <w:tcPr>
            <w:tcW w:w="2875" w:type="dxa"/>
            <w:vAlign w:val="top"/>
          </w:tcPr>
          <w:p>
            <w:pPr>
              <w:widowControl/>
              <w:adjustRightInd w:val="0"/>
              <w:snapToGrid w:val="0"/>
              <w:spacing w:line="240" w:lineRule="auto"/>
              <w:ind w:firstLine="400" w:firstLineChars="200"/>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典型工作任务涵盖视频制作全流程，涵盖前期策划筹备 （ 内容策划、 团队组建、 定位选题）、中期拍摄执行（ 设备选择、构图布光、镜头运用）、后期制作处理（ 剪辑处理、声音处理、字幕调色）以及发布推广运营（视频发布、推广运营、数据分析）等环节。</w:t>
            </w:r>
          </w:p>
        </w:tc>
        <w:tc>
          <w:tcPr>
            <w:tcW w:w="2773" w:type="dxa"/>
            <w:vAlign w:val="top"/>
          </w:tcPr>
          <w:p>
            <w:pPr>
              <w:widowControl/>
              <w:adjustRightInd w:val="0"/>
              <w:snapToGrid w:val="0"/>
              <w:spacing w:line="240" w:lineRule="auto"/>
              <w:ind w:firstLine="400" w:firstLineChars="200"/>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从零开始全面认识短视频、短视频的制作流程、短视频的构图原则与方法、抖音短视频的录制与制作、移动端短视频的后期制作、PC端短视频的后期制作、编辑与制作短视频。培养学生在短视频拍摄与剪辑工作岗位中，熟练掌握短视频策划、脚本撰写、拍摄、剪辑等职业技能，能够策划、拍摄和剪辑出较高水平的短视频作品，在淘宝网、抖音等电商平台、短视频平台上展示和传播，具有较强的产品视频策划和执行能力，能够制作相应的短视频广告，培养学生短视频策划、拍摄、剪辑、特效制作、字幕制作、颜色校正、音频编辑等职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24" w:type="dxa"/>
            <w:vAlign w:val="center"/>
          </w:tcPr>
          <w:p>
            <w:pPr>
              <w:widowControl/>
              <w:shd w:val="clear"/>
              <w:jc w:val="left"/>
              <w:rPr>
                <w:rFonts w:ascii="宋体" w:hAnsi="宋体" w:eastAsia="宋体" w:cs="宋体"/>
                <w:color w:val="000000"/>
                <w:kern w:val="0"/>
                <w:sz w:val="18"/>
                <w:szCs w:val="18"/>
                <w:highlight w:val="none"/>
                <w:shd w:val="clear" w:color="auto" w:fill="auto"/>
                <w:lang w:bidi="ar"/>
              </w:rPr>
            </w:pPr>
            <w:r>
              <w:rPr>
                <w:rFonts w:hint="eastAsia" w:ascii="宋体" w:hAnsi="宋体" w:eastAsia="宋体" w:cs="宋体"/>
                <w:color w:val="000000"/>
                <w:kern w:val="0"/>
                <w:sz w:val="18"/>
                <w:szCs w:val="18"/>
                <w:highlight w:val="none"/>
                <w:shd w:val="clear" w:color="auto" w:fill="auto"/>
                <w:lang w:bidi="ar"/>
              </w:rPr>
              <w:t>2</w:t>
            </w:r>
          </w:p>
        </w:tc>
        <w:tc>
          <w:tcPr>
            <w:tcW w:w="633" w:type="dxa"/>
            <w:vAlign w:val="top"/>
          </w:tcPr>
          <w:p>
            <w:pPr>
              <w:spacing w:line="240" w:lineRule="auto"/>
              <w:rPr>
                <w:rFonts w:ascii="宋体" w:hAnsi="宋体" w:eastAsia="宋体" w:cs="宋体"/>
                <w:b/>
                <w:sz w:val="18"/>
                <w:szCs w:val="18"/>
                <w:highlight w:val="none"/>
                <w:shd w:val="clear" w:color="auto" w:fill="auto"/>
              </w:rPr>
            </w:pPr>
            <w:r>
              <w:rPr>
                <w:rFonts w:hint="eastAsia" w:ascii="仿宋" w:hAnsi="仿宋" w:eastAsia="仿宋" w:cs="仿宋"/>
                <w:kern w:val="2"/>
                <w:sz w:val="20"/>
                <w:szCs w:val="20"/>
                <w:lang w:val="en-US" w:eastAsia="zh-CN" w:bidi="ar-SA"/>
              </w:rPr>
              <w:t>直播电商</w:t>
            </w:r>
          </w:p>
        </w:tc>
        <w:tc>
          <w:tcPr>
            <w:tcW w:w="2912" w:type="dxa"/>
            <w:vAlign w:val="top"/>
          </w:tcPr>
          <w:p>
            <w:pPr>
              <w:bidi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•直播电商基础理论：涵盖直播电商的定义、发展历程、行业现状及产业链结构。 涉及主流直播平台的特点与运营规则。</w:t>
            </w:r>
          </w:p>
          <w:p>
            <w:pPr>
              <w:bidi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直播策划与执行，包括直播主题设计、内容策划、脚本撰写及流程安排。涉及直播场景搭建、设备使用与灯光布置等实操技能。</w:t>
            </w:r>
          </w:p>
          <w:p>
            <w:pPr>
              <w:bidi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•主播素养与技能</w:t>
            </w:r>
          </w:p>
          <w:p>
            <w:pPr>
              <w:bidi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•商品选品与供应链管理</w:t>
            </w:r>
          </w:p>
          <w:p>
            <w:pPr>
              <w:bidi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•推广与引流</w:t>
            </w:r>
          </w:p>
          <w:p>
            <w:pPr>
              <w:bidi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•数据分析与优化</w:t>
            </w:r>
          </w:p>
          <w:p>
            <w:pPr>
              <w:bidi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•法律法规与职业道德</w:t>
            </w:r>
          </w:p>
          <w:p>
            <w:pPr>
              <w:bidi w:val="0"/>
              <w:spacing w:line="240" w:lineRule="auto"/>
              <w:jc w:val="left"/>
              <w:rPr>
                <w:rFonts w:ascii="宋体" w:hAnsi="宋体" w:eastAsia="宋体" w:cs="宋体"/>
                <w:sz w:val="18"/>
                <w:szCs w:val="18"/>
                <w:highlight w:val="none"/>
                <w:shd w:val="clear" w:color="auto" w:fill="auto"/>
              </w:rPr>
            </w:pPr>
          </w:p>
        </w:tc>
        <w:tc>
          <w:tcPr>
            <w:tcW w:w="2875" w:type="dxa"/>
            <w:vAlign w:val="top"/>
          </w:tcPr>
          <w:p>
            <w:pPr>
              <w:bidi w:val="0"/>
              <w:spacing w:line="240" w:lineRule="auto"/>
              <w:ind w:firstLine="388" w:firstLineChars="0"/>
              <w:jc w:val="left"/>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典型工作任务可围绕一场完整的直播活动展开，工作内容主要有选品：依据市场趋势、用户画像和品牌定位筛选商品，确保商品具备高性价比、强展示性和独特卖点；策划：制定直播主题、流程和话术脚本，合理安排产品讲解顺序和促销节点。设计背景板突出品牌和促销信息，按标准布置灯光；执行：开播前调试好设备，如检测网络带宽、多次测试备用电源、提词器、收音麦克风等。主播运用销售法则介绍产品，场控人员实时监测弹幕，及时处理突发问题，避免负面评价扩散；互动营销：通过发放红包、抽奖、整点秒杀等活动提升用户留存率，引导粉丝加入粉丝团。设置悬浮购物车按钮方便用户购买。</w:t>
            </w:r>
          </w:p>
        </w:tc>
        <w:tc>
          <w:tcPr>
            <w:tcW w:w="2773" w:type="dxa"/>
            <w:vAlign w:val="top"/>
          </w:tcPr>
          <w:p>
            <w:pPr>
              <w:keepNext w:val="0"/>
              <w:keepLines w:val="0"/>
              <w:widowControl/>
              <w:suppressLineNumbers w:val="0"/>
              <w:shd w:val="clear"/>
              <w:spacing w:line="240" w:lineRule="auto"/>
              <w:jc w:val="left"/>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直播电商概念、产业链分析、平台规则解读、直播主题设计、脚本撰写、流程安排、场景搭建、主播人设打造、话术设计、互动技巧、镜头感培养、选品逻辑、供应商合作、库存管理、卖点提炼、站内推广、社交媒体营销、SEO优化、活动策划、数据指标分析、用户画像、流量转化、复盘诊断、直播行业法规、诚信经营、隐私保护、社会责任。 要求掌握直播电商的基本框架，理解行业运作逻辑，能够独立完成直播全流程策划，合理安排各环节。具备良好表达能力，能根据商品特征和用户需求调整话术，能够根据市场趋势和用户画像选择合适商品。掌握多种推广渠道，提升直播曝光度和流量。能够通过数据优化直播策略，提升运营效率。遵守行业规范，具备法律意识和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424" w:type="dxa"/>
            <w:vAlign w:val="center"/>
          </w:tcPr>
          <w:p>
            <w:pPr>
              <w:widowControl/>
              <w:shd w:val="clear"/>
              <w:adjustRightInd w:val="0"/>
              <w:snapToGrid w:val="0"/>
              <w:spacing w:line="240" w:lineRule="exact"/>
              <w:jc w:val="center"/>
              <w:rPr>
                <w:rFonts w:ascii="宋体" w:hAnsi="宋体" w:eastAsia="宋体" w:cs="宋体"/>
                <w:color w:val="000000"/>
                <w:kern w:val="0"/>
                <w:sz w:val="18"/>
                <w:szCs w:val="18"/>
                <w:highlight w:val="none"/>
                <w:shd w:val="clear" w:color="auto" w:fill="auto"/>
                <w:lang w:bidi="ar"/>
              </w:rPr>
            </w:pPr>
            <w:r>
              <w:rPr>
                <w:rFonts w:hint="eastAsia" w:ascii="宋体" w:hAnsi="宋体" w:eastAsia="宋体" w:cs="宋体"/>
                <w:sz w:val="18"/>
                <w:szCs w:val="18"/>
                <w:highlight w:val="none"/>
                <w:shd w:val="clear" w:color="auto" w:fill="auto"/>
              </w:rPr>
              <w:t>3</w:t>
            </w:r>
          </w:p>
        </w:tc>
        <w:tc>
          <w:tcPr>
            <w:tcW w:w="633" w:type="dxa"/>
            <w:vAlign w:val="center"/>
          </w:tcPr>
          <w:p>
            <w:pPr>
              <w:widowControl/>
              <w:spacing w:line="240" w:lineRule="auto"/>
              <w:textAlignment w:val="center"/>
              <w:rPr>
                <w:rFonts w:ascii="宋体" w:hAnsi="宋体" w:eastAsia="宋体" w:cs="宋体"/>
                <w:b/>
                <w:sz w:val="18"/>
                <w:szCs w:val="18"/>
                <w:highlight w:val="none"/>
                <w:shd w:val="clear" w:color="auto" w:fill="auto"/>
              </w:rPr>
            </w:pPr>
            <w:r>
              <w:rPr>
                <w:rFonts w:hint="eastAsia" w:ascii="仿宋" w:hAnsi="仿宋" w:eastAsia="仿宋" w:cs="仿宋"/>
                <w:kern w:val="2"/>
                <w:sz w:val="20"/>
                <w:szCs w:val="20"/>
                <w:lang w:val="en-US" w:eastAsia="zh-CN" w:bidi="ar-SA"/>
              </w:rPr>
              <w:t>商品信息采集</w:t>
            </w:r>
          </w:p>
        </w:tc>
        <w:tc>
          <w:tcPr>
            <w:tcW w:w="2912" w:type="dxa"/>
            <w:vAlign w:val="top"/>
          </w:tcPr>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xml:space="preserve"> • 摄影理论知识：涵盖消费者心理学知识、摄影艺术理论等内容，为商品拍摄提供理论基础，帮助学生理解如何通过拍摄手法吸引消费者。</w:t>
            </w:r>
          </w:p>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摄影操作技术：包括掌握照相机的使用，运用摄影构图、摄影用光等方法进行商品拍摄，以及根据不同商品特性选择合适的拍摄技巧和设备。</w:t>
            </w:r>
          </w:p>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数码后期处理：学生需要学会使用Photoshop、Fireworks等软件对拍摄的商品照片进行后期处理，提升照片质量，使其更好地展示商品特点。</w:t>
            </w:r>
          </w:p>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商品采编工作对商品信息进行收集、整理和编辑，确保信息准确、完整且有吸引力。</w:t>
            </w:r>
          </w:p>
          <w:p>
            <w:pPr>
              <w:widowControl/>
              <w:adjustRightInd w:val="0"/>
              <w:snapToGrid w:val="0"/>
              <w:spacing w:line="240" w:lineRule="auto"/>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 页面设计知识：涉及商品详情页设计的基本知识和方法，将采集到的商品信息和图片进行合理布局和呈现，以提高商品的展示效果和销售转化率。</w:t>
            </w:r>
          </w:p>
        </w:tc>
        <w:tc>
          <w:tcPr>
            <w:tcW w:w="2875" w:type="dxa"/>
            <w:vAlign w:val="top"/>
          </w:tcPr>
          <w:p>
            <w:pPr>
              <w:keepNext w:val="0"/>
              <w:keepLines w:val="0"/>
              <w:widowControl/>
              <w:suppressLineNumbers w:val="0"/>
              <w:shd w:val="clear"/>
              <w:spacing w:line="240" w:lineRule="auto"/>
              <w:jc w:val="left"/>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典型工作任务主要围绕商品从前期分析到最终呈现的全流程展开。工作内容主要有商品分析与卖点挖掘、拍摄准备、商品拍摄执行、信息采集、后期处理、页面设计与呈现、效果评估与反馈。</w:t>
            </w:r>
          </w:p>
        </w:tc>
        <w:tc>
          <w:tcPr>
            <w:tcW w:w="2773" w:type="dxa"/>
            <w:vAlign w:val="top"/>
          </w:tcPr>
          <w:p>
            <w:pPr>
              <w:widowControl/>
              <w:adjustRightInd w:val="0"/>
              <w:snapToGrid w:val="0"/>
              <w:spacing w:line="240" w:lineRule="auto"/>
              <w:ind w:firstLine="400" w:firstLineChars="200"/>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商品信息采集的基本知识、色彩和构图基本理论以及数码相机的基本操作、典型商品详解拍摄过程与拍摄技巧、商品的展示图片处理、合成的方法和技巧。使学生掌握数码相机的基本操作及色彩和构图基本理论；掌握对日用、箱包皮具、金属、玻璃制品、服装等商品拍摄能力。</w:t>
            </w:r>
          </w:p>
          <w:p>
            <w:pPr>
              <w:keepNext w:val="0"/>
              <w:keepLines w:val="0"/>
              <w:widowControl/>
              <w:suppressLineNumbers w:val="0"/>
              <w:shd w:val="clear"/>
              <w:spacing w:line="240" w:lineRule="auto"/>
              <w:jc w:val="left"/>
              <w:rPr>
                <w:rFonts w:ascii="宋体" w:hAnsi="宋体" w:eastAsia="宋体" w:cs="宋体"/>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424" w:type="dxa"/>
            <w:vAlign w:val="center"/>
          </w:tcPr>
          <w:p>
            <w:pPr>
              <w:widowControl/>
              <w:shd w:val="clear"/>
              <w:adjustRightInd w:val="0"/>
              <w:snapToGrid w:val="0"/>
              <w:spacing w:line="240" w:lineRule="exact"/>
              <w:jc w:val="center"/>
              <w:rPr>
                <w:rFonts w:ascii="宋体" w:hAnsi="宋体" w:eastAsia="宋体" w:cs="宋体"/>
                <w:color w:val="000000"/>
                <w:kern w:val="0"/>
                <w:sz w:val="18"/>
                <w:szCs w:val="18"/>
                <w:highlight w:val="none"/>
                <w:shd w:val="clear" w:color="auto" w:fill="auto"/>
                <w:lang w:bidi="ar"/>
              </w:rPr>
            </w:pPr>
            <w:r>
              <w:rPr>
                <w:rFonts w:hint="eastAsia" w:ascii="宋体" w:hAnsi="宋体" w:eastAsia="宋体" w:cs="宋体"/>
                <w:sz w:val="18"/>
                <w:szCs w:val="18"/>
                <w:highlight w:val="none"/>
                <w:shd w:val="clear" w:color="auto" w:fill="auto"/>
              </w:rPr>
              <w:t>4</w:t>
            </w:r>
          </w:p>
        </w:tc>
        <w:tc>
          <w:tcPr>
            <w:tcW w:w="633" w:type="dxa"/>
            <w:vAlign w:val="center"/>
          </w:tcPr>
          <w:p>
            <w:pPr>
              <w:widowControl/>
              <w:spacing w:line="240" w:lineRule="auto"/>
              <w:textAlignment w:val="center"/>
              <w:rPr>
                <w:rFonts w:ascii="宋体" w:hAnsi="宋体" w:eastAsia="宋体" w:cs="宋体"/>
                <w:b/>
                <w:sz w:val="18"/>
                <w:szCs w:val="18"/>
                <w:highlight w:val="none"/>
                <w:shd w:val="clear" w:color="auto" w:fill="auto"/>
              </w:rPr>
            </w:pPr>
            <w:r>
              <w:rPr>
                <w:rFonts w:hint="eastAsia" w:ascii="仿宋" w:hAnsi="仿宋" w:eastAsia="仿宋" w:cs="仿宋"/>
                <w:kern w:val="2"/>
                <w:sz w:val="20"/>
                <w:szCs w:val="20"/>
                <w:lang w:val="en-US" w:eastAsia="zh-CN" w:bidi="ar-SA"/>
              </w:rPr>
              <w:t>网店运营</w:t>
            </w:r>
          </w:p>
        </w:tc>
        <w:tc>
          <w:tcPr>
            <w:tcW w:w="2912" w:type="dxa"/>
            <w:vAlign w:val="top"/>
          </w:tcPr>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基础搭建与操作：包括网店搭建，选品，店铺装修以及商品上架等基础操作内容，让学生掌握网店从无到有的创建流程。</w:t>
            </w:r>
          </w:p>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运营策略制定：深入讲解流量获取、客户维系等运营策略，如信息流推广、SEM推广等具体手段，提升网店的曝光度和知名度，吸引潜在客户。</w:t>
            </w:r>
          </w:p>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客户服务管理：传授客户服务流程和岗位意识，强调客户维系的重要性，通过良好的服务提升客户满意度和忠诚度。</w:t>
            </w:r>
          </w:p>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仓储物流管理：涉及仓储物流的管理要点，确保商品能够及时、准确地送达客户手中，提高客户的购物体验。</w:t>
            </w:r>
          </w:p>
          <w:p>
            <w:pPr>
              <w:widowControl/>
              <w:adjustRightInd w:val="0"/>
              <w:snapToGrid w:val="0"/>
              <w:spacing w:line="240" w:lineRule="auto"/>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 数据分析与决策：网店运营通常需要对销售数据、客户数据等进行分析，以便制定合理的运营策略和决策。</w:t>
            </w:r>
          </w:p>
        </w:tc>
        <w:tc>
          <w:tcPr>
            <w:tcW w:w="2875" w:type="dxa"/>
            <w:vAlign w:val="top"/>
          </w:tcPr>
          <w:p>
            <w:pPr>
              <w:widowControl/>
              <w:adjustRightInd w:val="0"/>
              <w:snapToGrid w:val="0"/>
              <w:spacing w:line="240" w:lineRule="auto"/>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典型工作任务包含网店从开设到运营管理的全流程环节。工作内容主要有网店筹备：解读平台入驻规则，完成店铺基础设置，明确网店定位，研究目标人群，确定商品分类策略； 视觉打造：进行商品主图设计和详情页视觉优化，注重主图设计规范、详情页逻辑框架与关联销售设置技巧，提升网店的视觉吸引力； 推广营销：通过站内广告投放、社交媒体推广等手段，结合SEO优化方法与无线端运营技巧，提高网店的曝光度和流量，促进商品销售；客户服务：规范客服流程，做好售前咨询应答和售后纠纷处理，维护良好的客户关系，提升客户满意度； 物流管理：进行仓储管理，管控发货时效，确保商品能够及时、准确地送达客户手中，优化供应链环节；数据分析：分析网店流量、转化率等数据，以数据为依据驱动决策，优化网店运营策略，提高运营效率和管理效果。</w:t>
            </w:r>
          </w:p>
        </w:tc>
        <w:tc>
          <w:tcPr>
            <w:tcW w:w="2773" w:type="dxa"/>
            <w:vAlign w:val="top"/>
          </w:tcPr>
          <w:p>
            <w:pPr>
              <w:keepNext w:val="0"/>
              <w:keepLines w:val="0"/>
              <w:widowControl/>
              <w:suppressLineNumbers w:val="0"/>
              <w:shd w:val="clear"/>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掌握 SEO\SEM、关键词优化、用户运营与管理等知识。运用流量获取与转化、竞争力分析与市场定位等方法，制定网店运营目标、推广策略及预算。 能够进行目标商品和竞品数据分析，制作运营数据分析报告，实施商品选品和供应商开发、商品销售和供应链管理。 能够进行用户画像分析，优化运营和客户</w:t>
            </w:r>
          </w:p>
          <w:p>
            <w:pPr>
              <w:keepNext w:val="0"/>
              <w:keepLines w:val="0"/>
              <w:widowControl/>
              <w:suppressLineNumbers w:val="0"/>
              <w:shd w:val="clear"/>
              <w:spacing w:line="240" w:lineRule="auto"/>
              <w:jc w:val="left"/>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管理策略，完成用户拉新、留存、促活和转化。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424" w:type="dxa"/>
            <w:vAlign w:val="center"/>
          </w:tcPr>
          <w:p>
            <w:pPr>
              <w:widowControl/>
              <w:shd w:val="clear"/>
              <w:adjustRightInd w:val="0"/>
              <w:snapToGrid w:val="0"/>
              <w:spacing w:line="240" w:lineRule="exact"/>
              <w:jc w:val="center"/>
              <w:rPr>
                <w:rFonts w:ascii="宋体" w:hAnsi="宋体" w:eastAsia="宋体" w:cs="宋体"/>
                <w:color w:val="000000"/>
                <w:kern w:val="0"/>
                <w:sz w:val="18"/>
                <w:szCs w:val="18"/>
                <w:highlight w:val="none"/>
                <w:shd w:val="clear" w:color="auto" w:fill="auto"/>
                <w:lang w:bidi="ar"/>
              </w:rPr>
            </w:pPr>
            <w:r>
              <w:rPr>
                <w:rFonts w:hint="eastAsia" w:ascii="宋体" w:hAnsi="宋体" w:eastAsia="宋体" w:cs="宋体"/>
                <w:sz w:val="18"/>
                <w:szCs w:val="18"/>
                <w:highlight w:val="none"/>
                <w:shd w:val="clear" w:color="auto" w:fill="auto"/>
              </w:rPr>
              <w:t>5</w:t>
            </w:r>
          </w:p>
        </w:tc>
        <w:tc>
          <w:tcPr>
            <w:tcW w:w="633" w:type="dxa"/>
            <w:vAlign w:val="center"/>
          </w:tcPr>
          <w:p>
            <w:pPr>
              <w:widowControl/>
              <w:spacing w:line="240" w:lineRule="auto"/>
              <w:textAlignment w:val="center"/>
              <w:rPr>
                <w:rFonts w:ascii="宋体" w:hAnsi="宋体" w:eastAsia="宋体" w:cs="宋体"/>
                <w:b/>
                <w:sz w:val="18"/>
                <w:szCs w:val="18"/>
                <w:highlight w:val="none"/>
                <w:shd w:val="clear" w:color="auto" w:fill="auto"/>
              </w:rPr>
            </w:pPr>
            <w:r>
              <w:rPr>
                <w:rFonts w:hint="eastAsia" w:ascii="仿宋" w:hAnsi="仿宋" w:eastAsia="仿宋" w:cs="仿宋"/>
                <w:kern w:val="2"/>
                <w:sz w:val="20"/>
                <w:szCs w:val="20"/>
                <w:lang w:val="en-US" w:eastAsia="zh-CN" w:bidi="ar-SA"/>
              </w:rPr>
              <w:t>视觉营销设计</w:t>
            </w:r>
          </w:p>
        </w:tc>
        <w:tc>
          <w:tcPr>
            <w:tcW w:w="2912" w:type="dxa"/>
            <w:vAlign w:val="top"/>
          </w:tcPr>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设计软件操作：包含Photoshop、Dreamweaver、Premiere等软件的使用，辅助学生进行图片处理、网页设计和视频编辑等工作。</w:t>
            </w:r>
          </w:p>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网店页面设计：涵盖店招、首页、导航、固定背景、页尾、轮播图、钻展、主图、详情页等网店各区域的图片制作及后台编辑，以及移动端网店的视觉设计。</w:t>
            </w:r>
          </w:p>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营销广告设计：包括推广图、促销活动页、宣传海报、广告设计图等网络广告的策划、设计与实施，通过视觉元素吸引潜在顾客。</w:t>
            </w:r>
          </w:p>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商品图片处理：涉及商品照片的后期处理、精修、调色、合成等，提升商品图片的视觉效果。</w:t>
            </w:r>
          </w:p>
          <w:p>
            <w:pPr>
              <w:widowControl/>
              <w:adjustRightInd w:val="0"/>
              <w:snapToGrid w:val="0"/>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视觉营销理论：包含视觉营销的基本概念、商业价值、构成要素（色彩、布局、图形等）、整体规划（用户画像与市场定位）等理论知识，为实践操作提供指导。</w:t>
            </w:r>
          </w:p>
          <w:p>
            <w:pPr>
              <w:widowControl/>
              <w:adjustRightInd w:val="0"/>
              <w:snapToGrid w:val="0"/>
              <w:spacing w:line="240" w:lineRule="auto"/>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  新媒体视觉呈现：聚焦短视频、社交平台等新媒体的视觉设计，适应网络营销的新趋势。</w:t>
            </w:r>
          </w:p>
        </w:tc>
        <w:tc>
          <w:tcPr>
            <w:tcW w:w="2875" w:type="dxa"/>
            <w:vAlign w:val="top"/>
          </w:tcPr>
          <w:p>
            <w:pPr>
              <w:widowControl/>
              <w:adjustRightInd w:val="0"/>
              <w:snapToGrid w:val="0"/>
              <w:spacing w:line="240" w:lineRule="auto"/>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典型工作任务可围绕网店页面设计展开，工作内容主要有 整体规划：依据用户画像与市场定位，制定网店视觉营销策略，明确设计风格与目标； 素材处理：运用Photoshop等软件，对商品照片进行后期处理，包括精修、调色、合成等，提升图片质量与视觉效果。；页面设计：完成店招、首页、导航、固定背景、页尾、轮播图、钻展、主图、详情页等各区域的图片制作，遵循电商场景实操规范，注重色彩、布局、图形等设计要素的应用；营销设计：设计推广图、促销活动页、宣传海报、广告设计图等网络广告，吸引潜在顾客，促进商品销售；移动端适配：考虑移动端网店特点，进行相应的视觉设计，确保在不同设备上都有良好的展示效果； 效果评估：结合视觉数据分析，评估设计效果，根据流量引导和转化率情况，对设计进行优化调整。</w:t>
            </w:r>
          </w:p>
        </w:tc>
        <w:tc>
          <w:tcPr>
            <w:tcW w:w="2773" w:type="dxa"/>
            <w:vAlign w:val="top"/>
          </w:tcPr>
          <w:p>
            <w:pPr>
              <w:widowControl/>
              <w:adjustRightInd w:val="0"/>
              <w:snapToGrid w:val="0"/>
              <w:spacing w:line="240" w:lineRule="auto"/>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网店视觉营销基础知识、视觉营销的表现形式、视觉营销常用工具、裁图与抠图、调色与精修、文字编排与图形绘制、合成与特效、网店布局、网店首页各元素设计、网店首页整体打造、商品详情页面各元素设计、商品详情页面整体打造。使学生掌握网店视觉设计元素、视觉色彩、视觉设计中字体的应用、视觉构图；了解用户体验、视觉定位、店铺结构、商品陈列；掌握文案完美视觉化技巧；掌握解商品主图、推广图片设计、掌握视觉营销数据化。能够根据店铺定位进行 PC 端、移动端页面装修，设计与制作企业品牌类图形元素及宣传物料。结合产品特点与包装材质设计产品内外包装。能够进行新媒体平台页面的配图排版、主题设计，及时分析新媒体发展，提出视觉提升方案。 能够策划、拍摄与剪辑短视频等活动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424" w:type="dxa"/>
            <w:vAlign w:val="center"/>
          </w:tcPr>
          <w:p>
            <w:pPr>
              <w:widowControl/>
              <w:shd w:val="clear"/>
              <w:adjustRightInd w:val="0"/>
              <w:snapToGrid w:val="0"/>
              <w:spacing w:line="240" w:lineRule="exact"/>
              <w:jc w:val="center"/>
              <w:rPr>
                <w:rFonts w:ascii="宋体" w:hAnsi="宋体" w:eastAsia="宋体" w:cs="宋体"/>
                <w:color w:val="000000"/>
                <w:kern w:val="0"/>
                <w:sz w:val="18"/>
                <w:szCs w:val="18"/>
                <w:highlight w:val="none"/>
                <w:shd w:val="clear" w:color="auto" w:fill="auto"/>
                <w:lang w:bidi="ar"/>
              </w:rPr>
            </w:pPr>
            <w:r>
              <w:rPr>
                <w:rFonts w:hint="eastAsia" w:ascii="宋体" w:hAnsi="宋体" w:eastAsia="宋体" w:cs="宋体"/>
                <w:sz w:val="18"/>
                <w:szCs w:val="18"/>
                <w:highlight w:val="none"/>
                <w:shd w:val="clear" w:color="auto" w:fill="auto"/>
              </w:rPr>
              <w:t>6</w:t>
            </w:r>
          </w:p>
        </w:tc>
        <w:tc>
          <w:tcPr>
            <w:tcW w:w="633" w:type="dxa"/>
            <w:vAlign w:val="top"/>
          </w:tcPr>
          <w:p>
            <w:pPr>
              <w:spacing w:line="240" w:lineRule="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eastAsia="zh-CN"/>
              </w:rPr>
              <w:t>商务数据分析</w:t>
            </w:r>
          </w:p>
          <w:p>
            <w:pPr>
              <w:spacing w:line="240" w:lineRule="auto"/>
              <w:rPr>
                <w:rFonts w:ascii="宋体" w:hAnsi="宋体" w:eastAsia="宋体" w:cs="宋体"/>
                <w:b/>
                <w:sz w:val="18"/>
                <w:szCs w:val="18"/>
                <w:highlight w:val="none"/>
                <w:shd w:val="clear" w:color="auto" w:fill="auto"/>
              </w:rPr>
            </w:pPr>
          </w:p>
        </w:tc>
        <w:tc>
          <w:tcPr>
            <w:tcW w:w="2912" w:type="dxa"/>
            <w:vAlign w:val="top"/>
          </w:tcPr>
          <w:p>
            <w:pPr>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数据采集与处理：学生需掌握数据采集与处理方案的制定，明确数据指标类型和获取渠道，对数据进行初步整理，运用工具采集、处理和存储数据。</w:t>
            </w:r>
          </w:p>
          <w:p>
            <w:pPr>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数据分析方法：涵盖统计学、市场、运营、产品、销售、供应链、客户等多方面的数据分析，借助统计调查与分析方法，运用工具开展分析工作。</w:t>
            </w:r>
          </w:p>
          <w:p>
            <w:pPr>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数据可视化：学习使用工具将分析结果以直观的图表、图形呈现，便于理解和决策。</w:t>
            </w:r>
          </w:p>
          <w:p>
            <w:pPr>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 电商业务场景应用：结合电子商务各环节，如市场、运营、产品等，依据不同情境下的分析目标开展数据监控，及时发现异常并提出优化建议，为电商运营、营销、客户管理、风险控制等提供决策支持。</w:t>
            </w:r>
          </w:p>
          <w:p>
            <w:pPr>
              <w:spacing w:line="240" w:lineRule="auto"/>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 商业决策支持：培养学生将数据洞察转化为商业价值的能力，通过分析结果撰写报表、给出优化方案和建议，驱动电商企业的商业决策与增长。</w:t>
            </w:r>
          </w:p>
        </w:tc>
        <w:tc>
          <w:tcPr>
            <w:tcW w:w="2875" w:type="dxa"/>
            <w:vAlign w:val="top"/>
          </w:tcPr>
          <w:p>
            <w:pPr>
              <w:spacing w:line="240" w:lineRule="auto"/>
              <w:ind w:firstLine="392" w:firstLineChars="196"/>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典型工作任务可围绕电商平台运营数据分析展开，工作内容主要有数据采集与整理：明确分析目标，确定需采集的数据指标，如流量来源、商品销量、用户画像等数据；运用合适工具和方法，从电商平台数据库、第三方统计工具等多渠道采集数据，并进行初步整理，确保数据的准确性和完整性；</w:t>
            </w:r>
          </w:p>
          <w:p>
            <w:pPr>
              <w:spacing w:line="240" w:lineRule="auto"/>
              <w:ind w:firstLine="392" w:firstLineChars="196"/>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数据分析与挖掘：运用统计学方法和数据分析工具对采集的数据进行深入分析，挖掘数据背后的规律和趋势，分析不同营销活动对销售业绩的影响，通过数据挖掘找出潜在客户群体和消费偏好；数据可视化呈现：使用工具将分析结果以直观的图表、图形等形式呈现出来，如制作销售趋势图、用户地域分布地图等，以便相关人员更清晰地理解数据； 结果评估与决策建议：根据数据分析结果，评估电商平台运营效果，找出存在的问题和潜在机会；撰写数据分析报告，提出针对性的优化建议和决策支持，如调整营销策略、优化商品布局等，为电商运营、营销、客户管理等提供数据依据，提升营销和运营效率。</w:t>
            </w:r>
          </w:p>
        </w:tc>
        <w:tc>
          <w:tcPr>
            <w:tcW w:w="2773" w:type="dxa"/>
            <w:vAlign w:val="top"/>
          </w:tcPr>
          <w:p>
            <w:pPr>
              <w:spacing w:line="240" w:lineRule="auto"/>
              <w:ind w:firstLine="392" w:firstLineChars="196"/>
              <w:rPr>
                <w:rFonts w:ascii="宋体" w:hAnsi="宋体" w:eastAsia="宋体" w:cs="宋体"/>
                <w:sz w:val="18"/>
                <w:szCs w:val="18"/>
                <w:highlight w:val="none"/>
                <w:shd w:val="clear" w:color="auto" w:fill="auto"/>
              </w:rPr>
            </w:pPr>
            <w:r>
              <w:rPr>
                <w:rFonts w:hint="eastAsia" w:ascii="仿宋" w:hAnsi="仿宋" w:eastAsia="仿宋" w:cs="仿宋"/>
                <w:kern w:val="2"/>
                <w:sz w:val="20"/>
                <w:szCs w:val="20"/>
                <w:lang w:val="en-US" w:eastAsia="zh-CN" w:bidi="ar-SA"/>
              </w:rPr>
              <w:t>数据采集与处理，能制定数据采集目标和指标，选择合适的工具对行业数据进行采集、清洗和整理；数据处理与分析，运用数据处理和分析方法，对市场数据、运营数据、产品数据等进行处理和分析；数据监控与报告撰写，能对基础数据进行监控，制作监控数据报表，撰写报告；电子商务数据分析从业者应遵循的法律法规。理解数据分析指标体系概念。 掌握数据分析的方法与方法论，能根据数据运营目标采集与处理市场信息、营销活动、产品需求挖掘等数据。 运用数据分析工具，对市场数据、客户数据、运营数据、销售数据、供应链数据进行全过程分析及可视化呈现。 撰写数据分析报告，提出运营优化和改进建议。</w:t>
            </w:r>
          </w:p>
        </w:tc>
      </w:tr>
    </w:tbl>
    <w:p>
      <w:pPr>
        <w:widowControl/>
        <w:numPr>
          <w:ilvl w:val="0"/>
          <w:numId w:val="3"/>
        </w:numPr>
        <w:shd w:val="clear"/>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 xml:space="preserve">专业拓展课程 </w:t>
      </w:r>
    </w:p>
    <w:p>
      <w:pPr>
        <w:pStyle w:val="4"/>
        <w:widowControl/>
        <w:shd w:val="clear" w:color="auto"/>
        <w:adjustRightInd w:val="0"/>
        <w:snapToGrid w:val="0"/>
        <w:spacing w:beforeAutospacing="0" w:afterAutospacing="0" w:line="300" w:lineRule="auto"/>
        <w:ind w:firstLine="422" w:firstLineChars="200"/>
        <w:jc w:val="center"/>
        <w:rPr>
          <w:rFonts w:ascii="仿宋" w:hAnsi="仿宋" w:eastAsia="仿宋" w:cs="宋体"/>
          <w:b/>
          <w:sz w:val="21"/>
          <w:szCs w:val="21"/>
          <w:highlight w:val="none"/>
          <w:shd w:val="clear" w:color="auto" w:fill="auto"/>
        </w:rPr>
      </w:pPr>
      <w:r>
        <w:rPr>
          <w:rFonts w:hint="eastAsia" w:ascii="仿宋" w:hAnsi="仿宋" w:eastAsia="仿宋" w:cs="宋体"/>
          <w:b/>
          <w:sz w:val="21"/>
          <w:szCs w:val="21"/>
          <w:highlight w:val="none"/>
          <w:shd w:val="clear" w:color="auto" w:fill="auto"/>
        </w:rPr>
        <w:t>表5 专业拓展课程说明表</w:t>
      </w:r>
    </w:p>
    <w:tbl>
      <w:tblPr>
        <w:tblStyle w:val="5"/>
        <w:tblW w:w="52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6" w:type="dxa"/>
          <w:left w:w="36" w:type="dxa"/>
          <w:bottom w:w="36" w:type="dxa"/>
          <w:right w:w="36" w:type="dxa"/>
        </w:tblCellMar>
      </w:tblPr>
      <w:tblGrid>
        <w:gridCol w:w="597"/>
        <w:gridCol w:w="1135"/>
        <w:gridCol w:w="3180"/>
        <w:gridCol w:w="4158"/>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305" w:hRule="atLeast"/>
          <w:jc w:val="center"/>
        </w:trPr>
        <w:tc>
          <w:tcPr>
            <w:tcW w:w="308" w:type="pct"/>
            <w:shd w:val="clear" w:color="auto" w:fill="auto"/>
            <w:vAlign w:val="center"/>
          </w:tcPr>
          <w:p>
            <w:pPr>
              <w:shd w:val="clear"/>
              <w:adjustRightInd w:val="0"/>
              <w:snapToGrid w:val="0"/>
              <w:jc w:val="center"/>
              <w:rPr>
                <w:rFonts w:ascii="宋体" w:hAnsi="宋体" w:eastAsia="宋体" w:cs="宋体"/>
                <w:b/>
                <w:color w:val="000000"/>
                <w:kern w:val="0"/>
                <w:sz w:val="18"/>
                <w:szCs w:val="18"/>
                <w:highlight w:val="none"/>
                <w:shd w:val="clear" w:color="auto" w:fill="auto"/>
              </w:rPr>
            </w:pPr>
            <w:r>
              <w:rPr>
                <w:rFonts w:hint="eastAsia" w:ascii="宋体" w:hAnsi="宋体" w:eastAsia="宋体" w:cs="宋体"/>
                <w:b/>
                <w:color w:val="000000"/>
                <w:kern w:val="0"/>
                <w:sz w:val="18"/>
                <w:szCs w:val="18"/>
                <w:highlight w:val="none"/>
                <w:shd w:val="clear" w:color="auto" w:fill="auto"/>
              </w:rPr>
              <w:t>序号</w:t>
            </w:r>
          </w:p>
        </w:tc>
        <w:tc>
          <w:tcPr>
            <w:tcW w:w="586" w:type="pct"/>
            <w:shd w:val="clear" w:color="auto" w:fill="auto"/>
            <w:vAlign w:val="center"/>
          </w:tcPr>
          <w:p>
            <w:pPr>
              <w:shd w:val="clear"/>
              <w:adjustRightInd w:val="0"/>
              <w:snapToGrid w:val="0"/>
              <w:jc w:val="center"/>
              <w:rPr>
                <w:rFonts w:ascii="宋体" w:hAnsi="宋体" w:eastAsia="宋体" w:cs="宋体"/>
                <w:b/>
                <w:color w:val="000000"/>
                <w:kern w:val="0"/>
                <w:sz w:val="18"/>
                <w:szCs w:val="18"/>
                <w:highlight w:val="none"/>
                <w:shd w:val="clear" w:color="auto" w:fill="auto"/>
              </w:rPr>
            </w:pPr>
            <w:r>
              <w:rPr>
                <w:rFonts w:hint="eastAsia" w:ascii="宋体" w:hAnsi="宋体" w:eastAsia="宋体" w:cs="宋体"/>
                <w:b/>
                <w:color w:val="000000"/>
                <w:kern w:val="0"/>
                <w:sz w:val="18"/>
                <w:szCs w:val="18"/>
                <w:highlight w:val="none"/>
                <w:shd w:val="clear" w:color="auto" w:fill="auto"/>
              </w:rPr>
              <w:t>课程名称</w:t>
            </w:r>
          </w:p>
        </w:tc>
        <w:tc>
          <w:tcPr>
            <w:tcW w:w="1642" w:type="pct"/>
            <w:shd w:val="clear" w:color="auto" w:fill="auto"/>
            <w:vAlign w:val="center"/>
          </w:tcPr>
          <w:p>
            <w:pPr>
              <w:shd w:val="clear"/>
              <w:adjustRightInd w:val="0"/>
              <w:snapToGrid w:val="0"/>
              <w:jc w:val="center"/>
              <w:rPr>
                <w:rFonts w:ascii="宋体" w:hAnsi="宋体" w:eastAsia="宋体" w:cs="宋体"/>
                <w:b/>
                <w:color w:val="000000"/>
                <w:kern w:val="0"/>
                <w:sz w:val="18"/>
                <w:szCs w:val="18"/>
                <w:highlight w:val="none"/>
                <w:shd w:val="clear" w:color="auto" w:fill="auto"/>
              </w:rPr>
            </w:pPr>
            <w:r>
              <w:rPr>
                <w:rFonts w:hint="eastAsia" w:ascii="宋体" w:hAnsi="宋体" w:eastAsia="宋体" w:cs="宋体"/>
                <w:b/>
                <w:color w:val="000000"/>
                <w:kern w:val="0"/>
                <w:sz w:val="18"/>
                <w:szCs w:val="18"/>
                <w:highlight w:val="none"/>
                <w:shd w:val="clear" w:color="auto" w:fill="auto"/>
              </w:rPr>
              <w:t>教学目标</w:t>
            </w:r>
          </w:p>
        </w:tc>
        <w:tc>
          <w:tcPr>
            <w:tcW w:w="2147" w:type="pct"/>
            <w:shd w:val="clear" w:color="auto" w:fill="auto"/>
            <w:vAlign w:val="center"/>
          </w:tcPr>
          <w:p>
            <w:pPr>
              <w:shd w:val="clear"/>
              <w:adjustRightInd w:val="0"/>
              <w:snapToGrid w:val="0"/>
              <w:jc w:val="center"/>
              <w:rPr>
                <w:rFonts w:ascii="宋体" w:hAnsi="宋体" w:eastAsia="宋体" w:cs="宋体"/>
                <w:b/>
                <w:color w:val="000000"/>
                <w:kern w:val="0"/>
                <w:sz w:val="18"/>
                <w:szCs w:val="18"/>
                <w:highlight w:val="none"/>
                <w:shd w:val="clear" w:color="auto" w:fill="auto"/>
              </w:rPr>
            </w:pPr>
            <w:r>
              <w:rPr>
                <w:rFonts w:hint="eastAsia" w:ascii="宋体" w:hAnsi="宋体" w:eastAsia="宋体" w:cs="宋体"/>
                <w:b/>
                <w:color w:val="000000"/>
                <w:kern w:val="0"/>
                <w:sz w:val="18"/>
                <w:szCs w:val="18"/>
                <w:highlight w:val="none"/>
                <w:shd w:val="clear" w:color="auto" w:fill="auto"/>
              </w:rPr>
              <w:t>主要内容和教学要求</w:t>
            </w:r>
          </w:p>
        </w:tc>
        <w:tc>
          <w:tcPr>
            <w:tcW w:w="317" w:type="pct"/>
            <w:shd w:val="clear" w:color="auto" w:fill="auto"/>
            <w:vAlign w:val="center"/>
          </w:tcPr>
          <w:p>
            <w:pPr>
              <w:shd w:val="clear"/>
              <w:adjustRightInd w:val="0"/>
              <w:snapToGrid w:val="0"/>
              <w:jc w:val="center"/>
              <w:rPr>
                <w:rFonts w:ascii="宋体" w:hAnsi="宋体" w:eastAsia="宋体" w:cs="宋体"/>
                <w:b/>
                <w:color w:val="000000"/>
                <w:kern w:val="0"/>
                <w:sz w:val="18"/>
                <w:szCs w:val="18"/>
                <w:highlight w:val="none"/>
                <w:shd w:val="clear" w:color="auto" w:fill="auto"/>
              </w:rPr>
            </w:pPr>
            <w:r>
              <w:rPr>
                <w:rFonts w:hint="eastAsia" w:ascii="宋体" w:hAnsi="宋体" w:eastAsia="宋体" w:cs="宋体"/>
                <w:b/>
                <w:color w:val="000000"/>
                <w:kern w:val="0"/>
                <w:sz w:val="18"/>
                <w:szCs w:val="18"/>
                <w:highlight w:val="none"/>
                <w:shd w:val="clear" w:color="auto" w:fill="auto"/>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434" w:hRule="atLeast"/>
          <w:jc w:val="center"/>
        </w:trPr>
        <w:tc>
          <w:tcPr>
            <w:tcW w:w="597" w:type="dxa"/>
            <w:shd w:val="clear" w:color="auto" w:fill="auto"/>
            <w:vAlign w:val="center"/>
          </w:tcPr>
          <w:p>
            <w:pPr>
              <w:widowControl/>
              <w:spacing w:line="180" w:lineRule="exact"/>
              <w:jc w:val="center"/>
              <w:textAlignment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kern w:val="0"/>
                <w:sz w:val="18"/>
                <w:szCs w:val="18"/>
                <w:lang w:bidi="ar"/>
              </w:rPr>
              <w:t>1</w:t>
            </w:r>
          </w:p>
        </w:tc>
        <w:tc>
          <w:tcPr>
            <w:tcW w:w="1135" w:type="dxa"/>
            <w:shd w:val="clear" w:color="auto" w:fill="auto"/>
            <w:vAlign w:val="center"/>
          </w:tcPr>
          <w:p>
            <w:pPr>
              <w:widowControl/>
              <w:jc w:val="center"/>
              <w:textAlignment w:val="center"/>
              <w:rPr>
                <w:rFonts w:ascii="宋体" w:hAnsi="宋体" w:eastAsia="宋体" w:cs="宋体"/>
                <w:b/>
                <w:color w:val="auto"/>
                <w:sz w:val="18"/>
                <w:szCs w:val="18"/>
                <w:highlight w:val="none"/>
                <w:shd w:val="clear" w:color="auto" w:fill="auto"/>
              </w:rPr>
            </w:pPr>
            <w:r>
              <w:rPr>
                <w:rFonts w:hint="eastAsia" w:ascii="宋体" w:hAnsi="宋体" w:eastAsia="宋体" w:cs="宋体"/>
                <w:b/>
                <w:kern w:val="0"/>
                <w:sz w:val="18"/>
                <w:szCs w:val="18"/>
                <w:lang w:bidi="ar"/>
              </w:rPr>
              <w:t>商务谈判</w:t>
            </w:r>
          </w:p>
        </w:tc>
        <w:tc>
          <w:tcPr>
            <w:tcW w:w="3180" w:type="dxa"/>
            <w:shd w:val="clear" w:color="auto" w:fill="auto"/>
            <w:vAlign w:val="top"/>
          </w:tcPr>
          <w:p>
            <w:pPr>
              <w:widowControl/>
              <w:adjustRightInd w:val="0"/>
              <w:snapToGrid w:val="0"/>
              <w:spacing w:line="240" w:lineRule="exact"/>
              <w:rPr>
                <w:rFonts w:ascii="宋体" w:hAnsi="宋体" w:eastAsia="宋体" w:cs="宋体"/>
                <w:b/>
                <w:color w:val="auto"/>
                <w:kern w:val="0"/>
                <w:sz w:val="18"/>
                <w:szCs w:val="18"/>
                <w:highlight w:val="none"/>
                <w:shd w:val="clear" w:color="auto" w:fill="auto"/>
              </w:rPr>
            </w:pPr>
            <w:r>
              <w:rPr>
                <w:rFonts w:hint="eastAsia" w:ascii="宋体" w:hAnsi="宋体" w:eastAsia="宋体" w:cs="宋体"/>
                <w:sz w:val="18"/>
                <w:szCs w:val="18"/>
              </w:rPr>
              <w:t>使学生了解有关贸易法律法规，了解商务谈判的基本要求与禁忌，掌握商务谈判的基本理论与原则， 掌握商务谈判各环节的技巧与原则，掌握商务谈判的基本礼仪知识与技能。</w:t>
            </w:r>
          </w:p>
        </w:tc>
        <w:tc>
          <w:tcPr>
            <w:tcW w:w="4158" w:type="dxa"/>
            <w:shd w:val="clear" w:color="auto" w:fill="auto"/>
            <w:vAlign w:val="top"/>
          </w:tcPr>
          <w:p>
            <w:pPr>
              <w:spacing w:line="240" w:lineRule="exact"/>
              <w:rPr>
                <w:rFonts w:ascii="宋体" w:hAnsi="宋体" w:eastAsia="宋体" w:cs="宋体"/>
                <w:b/>
                <w:color w:val="auto"/>
                <w:kern w:val="0"/>
                <w:sz w:val="18"/>
                <w:szCs w:val="18"/>
                <w:highlight w:val="none"/>
                <w:shd w:val="clear" w:color="auto" w:fill="auto"/>
              </w:rPr>
            </w:pPr>
            <w:r>
              <w:rPr>
                <w:rFonts w:hint="eastAsia" w:ascii="宋体" w:hAnsi="宋体" w:eastAsia="宋体" w:cs="宋体"/>
                <w:sz w:val="18"/>
                <w:szCs w:val="18"/>
              </w:rPr>
              <w:t>商务谈判认知；商务谈判的基本理论与原则；商务谈判准备、开局、磋商、结束等过程；商务谈判基本礼仪；国际商务谈判的基本要求。</w:t>
            </w:r>
          </w:p>
        </w:tc>
        <w:tc>
          <w:tcPr>
            <w:tcW w:w="614" w:type="dxa"/>
            <w:shd w:val="clear" w:color="auto" w:fill="auto"/>
            <w:vAlign w:val="center"/>
          </w:tcPr>
          <w:p>
            <w:pPr>
              <w:adjustRightInd w:val="0"/>
              <w:snapToGrid w:val="0"/>
              <w:spacing w:line="230" w:lineRule="exact"/>
              <w:jc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395" w:hRule="atLeast"/>
          <w:jc w:val="center"/>
        </w:trPr>
        <w:tc>
          <w:tcPr>
            <w:tcW w:w="597" w:type="dxa"/>
            <w:shd w:val="clear" w:color="auto" w:fill="auto"/>
            <w:vAlign w:val="center"/>
          </w:tcPr>
          <w:p>
            <w:pPr>
              <w:widowControl/>
              <w:spacing w:line="180" w:lineRule="exact"/>
              <w:jc w:val="center"/>
              <w:textAlignment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kern w:val="0"/>
                <w:sz w:val="18"/>
                <w:szCs w:val="18"/>
                <w:lang w:bidi="ar"/>
              </w:rPr>
              <w:t>2</w:t>
            </w:r>
          </w:p>
        </w:tc>
        <w:tc>
          <w:tcPr>
            <w:tcW w:w="1135" w:type="dxa"/>
            <w:shd w:val="clear" w:color="auto" w:fill="auto"/>
            <w:vAlign w:val="center"/>
          </w:tcPr>
          <w:p>
            <w:pPr>
              <w:widowControl/>
              <w:jc w:val="center"/>
              <w:textAlignment w:val="center"/>
              <w:rPr>
                <w:rFonts w:ascii="宋体" w:hAnsi="宋体" w:eastAsia="宋体" w:cs="宋体"/>
                <w:b/>
                <w:color w:val="auto"/>
                <w:sz w:val="18"/>
                <w:szCs w:val="18"/>
                <w:highlight w:val="none"/>
                <w:shd w:val="clear" w:color="auto" w:fill="auto"/>
              </w:rPr>
            </w:pPr>
            <w:r>
              <w:rPr>
                <w:rFonts w:hint="eastAsia" w:ascii="宋体" w:hAnsi="宋体" w:eastAsia="宋体" w:cs="宋体"/>
                <w:b/>
                <w:color w:val="000000"/>
                <w:kern w:val="0"/>
                <w:sz w:val="18"/>
                <w:szCs w:val="18"/>
                <w:lang w:bidi="ar"/>
              </w:rPr>
              <w:t>企业文化</w:t>
            </w:r>
          </w:p>
        </w:tc>
        <w:tc>
          <w:tcPr>
            <w:tcW w:w="3180" w:type="dxa"/>
            <w:shd w:val="clear" w:color="auto" w:fill="auto"/>
            <w:vAlign w:val="top"/>
          </w:tcPr>
          <w:p>
            <w:pPr>
              <w:widowControl/>
              <w:adjustRightInd w:val="0"/>
              <w:snapToGrid w:val="0"/>
              <w:spacing w:line="240" w:lineRule="exact"/>
              <w:rPr>
                <w:rFonts w:ascii="宋体" w:hAnsi="宋体" w:eastAsia="宋体" w:cs="宋体"/>
                <w:color w:val="auto"/>
                <w:sz w:val="18"/>
                <w:szCs w:val="18"/>
                <w:highlight w:val="none"/>
                <w:shd w:val="clear" w:color="auto" w:fill="auto"/>
              </w:rPr>
            </w:pPr>
            <w:r>
              <w:rPr>
                <w:rFonts w:hint="eastAsia" w:ascii="宋体" w:hAnsi="宋体" w:eastAsia="宋体" w:cs="宋体"/>
                <w:sz w:val="18"/>
                <w:szCs w:val="18"/>
              </w:rPr>
              <w:t>培养学生用企业文化理论分析和解决企业实际问题的能力，掌握一套提高现代企业核心竞争力和可持续发展能力的有效策略,并能够进行初步的企业文化设计和分析。</w:t>
            </w:r>
          </w:p>
        </w:tc>
        <w:tc>
          <w:tcPr>
            <w:tcW w:w="4158" w:type="dxa"/>
            <w:shd w:val="clear" w:color="auto" w:fill="auto"/>
            <w:vAlign w:val="top"/>
          </w:tcPr>
          <w:p>
            <w:pPr>
              <w:widowControl/>
              <w:adjustRightInd w:val="0"/>
              <w:snapToGrid w:val="0"/>
              <w:spacing w:line="240" w:lineRule="exact"/>
              <w:rPr>
                <w:rFonts w:ascii="宋体" w:hAnsi="宋体" w:eastAsia="宋体" w:cs="宋体"/>
                <w:color w:val="auto"/>
                <w:sz w:val="18"/>
                <w:szCs w:val="18"/>
                <w:highlight w:val="none"/>
                <w:shd w:val="clear" w:color="auto" w:fill="auto"/>
              </w:rPr>
            </w:pPr>
            <w:r>
              <w:rPr>
                <w:rFonts w:hint="eastAsia" w:ascii="宋体" w:hAnsi="宋体" w:eastAsia="宋体" w:cs="宋体"/>
                <w:sz w:val="18"/>
                <w:szCs w:val="18"/>
              </w:rPr>
              <w:t>企业文化导论、企业精神文化、企业制度文化、企业物质文化、企业形象设计、企业文化建设、企业文化变革与创新、企业文化的国际比较、管理学中的文化研究。</w:t>
            </w:r>
          </w:p>
        </w:tc>
        <w:tc>
          <w:tcPr>
            <w:tcW w:w="614" w:type="dxa"/>
            <w:shd w:val="clear" w:color="auto" w:fill="auto"/>
            <w:vAlign w:val="center"/>
          </w:tcPr>
          <w:p>
            <w:pPr>
              <w:adjustRightInd w:val="0"/>
              <w:snapToGrid w:val="0"/>
              <w:spacing w:line="230" w:lineRule="exact"/>
              <w:jc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416" w:hRule="atLeast"/>
          <w:jc w:val="center"/>
        </w:trPr>
        <w:tc>
          <w:tcPr>
            <w:tcW w:w="597" w:type="dxa"/>
            <w:shd w:val="clear" w:color="auto" w:fill="auto"/>
            <w:vAlign w:val="center"/>
          </w:tcPr>
          <w:p>
            <w:pPr>
              <w:widowControl/>
              <w:spacing w:line="180" w:lineRule="exact"/>
              <w:jc w:val="center"/>
              <w:textAlignment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kern w:val="0"/>
                <w:sz w:val="18"/>
                <w:szCs w:val="18"/>
                <w:lang w:bidi="ar"/>
              </w:rPr>
              <w:t>3</w:t>
            </w:r>
          </w:p>
        </w:tc>
        <w:tc>
          <w:tcPr>
            <w:tcW w:w="1135" w:type="dxa"/>
            <w:shd w:val="clear" w:color="auto" w:fill="auto"/>
            <w:vAlign w:val="center"/>
          </w:tcPr>
          <w:p>
            <w:pPr>
              <w:widowControl/>
              <w:jc w:val="center"/>
              <w:textAlignment w:val="center"/>
              <w:rPr>
                <w:rFonts w:ascii="宋体" w:hAnsi="宋体" w:eastAsia="宋体" w:cs="宋体"/>
                <w:b/>
                <w:color w:val="auto"/>
                <w:sz w:val="18"/>
                <w:szCs w:val="18"/>
                <w:highlight w:val="none"/>
                <w:shd w:val="clear" w:color="auto" w:fill="auto"/>
              </w:rPr>
            </w:pPr>
            <w:r>
              <w:rPr>
                <w:rFonts w:hint="eastAsia" w:ascii="宋体" w:hAnsi="宋体" w:eastAsia="宋体" w:cs="宋体"/>
                <w:b/>
                <w:color w:val="000000"/>
                <w:kern w:val="0"/>
                <w:sz w:val="18"/>
                <w:szCs w:val="18"/>
                <w:lang w:bidi="ar"/>
              </w:rPr>
              <w:t>消费者行为分析</w:t>
            </w:r>
          </w:p>
        </w:tc>
        <w:tc>
          <w:tcPr>
            <w:tcW w:w="3180" w:type="dxa"/>
            <w:shd w:val="clear" w:color="auto" w:fill="auto"/>
            <w:vAlign w:val="top"/>
          </w:tcPr>
          <w:p>
            <w:pPr>
              <w:widowControl/>
              <w:adjustRightInd w:val="0"/>
              <w:snapToGrid w:val="0"/>
              <w:spacing w:line="240" w:lineRule="exact"/>
              <w:rPr>
                <w:rFonts w:ascii="宋体" w:hAnsi="宋体" w:eastAsia="宋体" w:cs="宋体"/>
                <w:b/>
                <w:color w:val="auto"/>
                <w:kern w:val="0"/>
                <w:sz w:val="18"/>
                <w:szCs w:val="18"/>
                <w:highlight w:val="none"/>
                <w:shd w:val="clear" w:color="auto" w:fill="auto"/>
              </w:rPr>
            </w:pPr>
            <w:r>
              <w:rPr>
                <w:rFonts w:hint="eastAsia" w:ascii="宋体" w:hAnsi="宋体" w:eastAsia="宋体" w:cs="宋体"/>
                <w:sz w:val="18"/>
                <w:szCs w:val="18"/>
              </w:rPr>
              <w:t>了解和掌握消费者行为学，帮助企业用好消费行为学理论与实践，为市场营销开拓跟广阔天地。</w:t>
            </w:r>
          </w:p>
        </w:tc>
        <w:tc>
          <w:tcPr>
            <w:tcW w:w="4158" w:type="dxa"/>
            <w:shd w:val="clear" w:color="auto" w:fill="auto"/>
            <w:vAlign w:val="top"/>
          </w:tcPr>
          <w:p>
            <w:pPr>
              <w:widowControl/>
              <w:adjustRightInd w:val="0"/>
              <w:snapToGrid w:val="0"/>
              <w:spacing w:line="240" w:lineRule="exact"/>
              <w:rPr>
                <w:rFonts w:ascii="宋体" w:hAnsi="宋体" w:eastAsia="宋体" w:cs="宋体"/>
                <w:b/>
                <w:color w:val="auto"/>
                <w:kern w:val="0"/>
                <w:sz w:val="18"/>
                <w:szCs w:val="18"/>
                <w:highlight w:val="none"/>
                <w:shd w:val="clear" w:color="auto" w:fill="auto"/>
              </w:rPr>
            </w:pPr>
            <w:r>
              <w:rPr>
                <w:rFonts w:hint="eastAsia" w:ascii="宋体" w:hAnsi="宋体" w:eastAsia="宋体" w:cs="宋体"/>
                <w:sz w:val="18"/>
                <w:szCs w:val="18"/>
              </w:rPr>
              <w:t>消费者行为导论，消费者购买决策，消费者的购买动机、知觉与购买行为，学习、记忆与购买行为，消费者态度的形成与改变，消费者的个性，自我概念与生活方式，文化与消费者购买行为，社会影响与消费者购买行为，家庭与消费者购买行为。</w:t>
            </w:r>
          </w:p>
        </w:tc>
        <w:tc>
          <w:tcPr>
            <w:tcW w:w="614" w:type="dxa"/>
            <w:shd w:val="clear" w:color="auto" w:fill="auto"/>
            <w:vAlign w:val="center"/>
          </w:tcPr>
          <w:p>
            <w:pPr>
              <w:adjustRightInd w:val="0"/>
              <w:snapToGrid w:val="0"/>
              <w:spacing w:line="230" w:lineRule="exact"/>
              <w:jc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094" w:hRule="atLeast"/>
          <w:jc w:val="center"/>
        </w:trPr>
        <w:tc>
          <w:tcPr>
            <w:tcW w:w="597" w:type="dxa"/>
            <w:shd w:val="clear" w:color="auto" w:fill="auto"/>
            <w:vAlign w:val="center"/>
          </w:tcPr>
          <w:p>
            <w:pPr>
              <w:widowControl/>
              <w:spacing w:line="180" w:lineRule="exact"/>
              <w:jc w:val="center"/>
              <w:textAlignment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kern w:val="0"/>
                <w:sz w:val="18"/>
                <w:szCs w:val="18"/>
                <w:lang w:bidi="ar"/>
              </w:rPr>
              <w:t>4</w:t>
            </w:r>
          </w:p>
        </w:tc>
        <w:tc>
          <w:tcPr>
            <w:tcW w:w="1135" w:type="dxa"/>
            <w:shd w:val="clear" w:color="auto" w:fill="auto"/>
            <w:vAlign w:val="center"/>
          </w:tcPr>
          <w:p>
            <w:pPr>
              <w:widowControl/>
              <w:jc w:val="center"/>
              <w:textAlignment w:val="center"/>
              <w:rPr>
                <w:rFonts w:ascii="宋体" w:hAnsi="宋体" w:eastAsia="宋体" w:cs="宋体"/>
                <w:b/>
                <w:color w:val="auto"/>
                <w:sz w:val="18"/>
                <w:szCs w:val="18"/>
                <w:highlight w:val="none"/>
                <w:shd w:val="clear" w:color="auto" w:fill="auto"/>
              </w:rPr>
            </w:pPr>
            <w:r>
              <w:rPr>
                <w:rFonts w:hint="eastAsia" w:ascii="宋体" w:hAnsi="宋体" w:eastAsia="宋体" w:cs="宋体"/>
                <w:b/>
                <w:color w:val="000000"/>
                <w:kern w:val="0"/>
                <w:sz w:val="18"/>
                <w:szCs w:val="18"/>
                <w:lang w:bidi="ar"/>
              </w:rPr>
              <w:t>统计基础</w:t>
            </w:r>
          </w:p>
        </w:tc>
        <w:tc>
          <w:tcPr>
            <w:tcW w:w="3180" w:type="dxa"/>
            <w:shd w:val="clear" w:color="auto" w:fill="auto"/>
            <w:vAlign w:val="top"/>
          </w:tcPr>
          <w:p>
            <w:pPr>
              <w:widowControl/>
              <w:adjustRightInd w:val="0"/>
              <w:snapToGrid w:val="0"/>
              <w:spacing w:line="240" w:lineRule="exact"/>
              <w:rPr>
                <w:rFonts w:ascii="宋体" w:hAnsi="宋体" w:eastAsia="宋体" w:cs="宋体"/>
                <w:b/>
                <w:color w:val="auto"/>
                <w:kern w:val="0"/>
                <w:sz w:val="18"/>
                <w:szCs w:val="18"/>
                <w:highlight w:val="none"/>
                <w:shd w:val="clear" w:color="auto" w:fill="auto"/>
              </w:rPr>
            </w:pPr>
            <w:r>
              <w:rPr>
                <w:rFonts w:hint="eastAsia" w:ascii="宋体" w:hAnsi="宋体" w:eastAsia="宋体" w:cs="宋体"/>
                <w:sz w:val="18"/>
                <w:szCs w:val="18"/>
              </w:rPr>
              <w:t>掌握统计调查与统计分组，能够计算和运用总量指标和相对指标，能够计算综合指数和平均指数，能够运用抽样推断，能够进行简单模型预测，掌握统计综合分析方法。</w:t>
            </w:r>
          </w:p>
        </w:tc>
        <w:tc>
          <w:tcPr>
            <w:tcW w:w="4158" w:type="dxa"/>
            <w:shd w:val="clear" w:color="auto" w:fill="auto"/>
            <w:vAlign w:val="top"/>
          </w:tcPr>
          <w:p>
            <w:pPr>
              <w:widowControl/>
              <w:adjustRightInd w:val="0"/>
              <w:snapToGrid w:val="0"/>
              <w:spacing w:line="240" w:lineRule="exact"/>
              <w:rPr>
                <w:rFonts w:ascii="宋体" w:hAnsi="宋体" w:eastAsia="宋体" w:cs="宋体"/>
                <w:b/>
                <w:color w:val="auto"/>
                <w:kern w:val="0"/>
                <w:sz w:val="18"/>
                <w:szCs w:val="18"/>
                <w:highlight w:val="none"/>
                <w:shd w:val="clear" w:color="auto" w:fill="auto"/>
              </w:rPr>
            </w:pPr>
            <w:r>
              <w:rPr>
                <w:rFonts w:hint="eastAsia" w:ascii="宋体" w:hAnsi="宋体" w:eastAsia="宋体" w:cs="宋体"/>
                <w:sz w:val="18"/>
                <w:szCs w:val="18"/>
              </w:rPr>
              <w:t>统计概述、统计调查、统计整理、总量指标和相对指标、平均指标和变异指标、时间数列分析、统计指数、抽样推断、统计预测、统计综合分析。</w:t>
            </w:r>
          </w:p>
        </w:tc>
        <w:tc>
          <w:tcPr>
            <w:tcW w:w="614" w:type="dxa"/>
            <w:shd w:val="clear" w:color="auto" w:fill="auto"/>
            <w:vAlign w:val="center"/>
          </w:tcPr>
          <w:p>
            <w:pPr>
              <w:adjustRightInd w:val="0"/>
              <w:snapToGrid w:val="0"/>
              <w:spacing w:line="230" w:lineRule="exact"/>
              <w:jc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553" w:hRule="atLeast"/>
          <w:jc w:val="center"/>
        </w:trPr>
        <w:tc>
          <w:tcPr>
            <w:tcW w:w="308" w:type="pct"/>
            <w:shd w:val="clear" w:color="auto" w:fill="auto"/>
            <w:vAlign w:val="center"/>
          </w:tcPr>
          <w:p>
            <w:pPr>
              <w:widowControl/>
              <w:shd w:val="clear"/>
              <w:spacing w:line="180" w:lineRule="exact"/>
              <w:jc w:val="center"/>
              <w:textAlignment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kern w:val="0"/>
                <w:sz w:val="18"/>
                <w:szCs w:val="18"/>
                <w:highlight w:val="none"/>
                <w:shd w:val="clear" w:color="auto" w:fill="auto"/>
                <w:lang w:bidi="ar"/>
              </w:rPr>
              <w:t>5</w:t>
            </w:r>
          </w:p>
        </w:tc>
        <w:tc>
          <w:tcPr>
            <w:tcW w:w="1135" w:type="dxa"/>
            <w:shd w:val="clear" w:color="auto" w:fill="auto"/>
            <w:vAlign w:val="center"/>
          </w:tcPr>
          <w:p>
            <w:pPr>
              <w:widowControl/>
              <w:jc w:val="left"/>
              <w:textAlignment w:val="center"/>
              <w:rPr>
                <w:rFonts w:ascii="宋体" w:hAnsi="宋体" w:eastAsia="宋体" w:cs="宋体"/>
                <w:b/>
                <w:color w:val="auto"/>
                <w:sz w:val="18"/>
                <w:szCs w:val="18"/>
                <w:highlight w:val="none"/>
                <w:shd w:val="clear" w:color="auto" w:fill="auto"/>
              </w:rPr>
            </w:pPr>
            <w:r>
              <w:rPr>
                <w:rFonts w:hint="eastAsia" w:ascii="宋体" w:hAnsi="宋体" w:eastAsia="宋体" w:cs="宋体"/>
                <w:b/>
                <w:color w:val="auto"/>
                <w:sz w:val="18"/>
                <w:szCs w:val="18"/>
                <w:highlight w:val="none"/>
                <w:shd w:val="clear" w:color="auto" w:fill="auto"/>
              </w:rPr>
              <w:t>电子商务法律法规</w:t>
            </w:r>
          </w:p>
        </w:tc>
        <w:tc>
          <w:tcPr>
            <w:tcW w:w="3180" w:type="dxa"/>
            <w:shd w:val="clear" w:color="auto" w:fill="auto"/>
            <w:vAlign w:val="center"/>
          </w:tcPr>
          <w:p>
            <w:pPr>
              <w:widowControl/>
              <w:adjustRightInd w:val="0"/>
              <w:snapToGrid w:val="0"/>
              <w:spacing w:line="240" w:lineRule="exact"/>
              <w:rPr>
                <w:rFonts w:hint="eastAsia" w:ascii="宋体" w:hAnsi="宋体" w:eastAsia="宋体" w:cs="宋体"/>
                <w:sz w:val="18"/>
                <w:szCs w:val="18"/>
              </w:rPr>
            </w:pPr>
            <w:r>
              <w:rPr>
                <w:rFonts w:hint="eastAsia" w:ascii="宋体" w:hAnsi="宋体" w:eastAsia="宋体" w:cs="宋体"/>
                <w:sz w:val="18"/>
                <w:szCs w:val="18"/>
                <w:lang w:val="en-US" w:eastAsia="zh-CN"/>
              </w:rPr>
              <w:t>使学生了解电子商务法律相关知识，为以后从事电子商务活动提供法律知识保障。</w:t>
            </w:r>
          </w:p>
        </w:tc>
        <w:tc>
          <w:tcPr>
            <w:tcW w:w="4158" w:type="dxa"/>
            <w:shd w:val="clear" w:color="auto" w:fill="auto"/>
            <w:vAlign w:val="center"/>
          </w:tcPr>
          <w:p>
            <w:pPr>
              <w:widowControl/>
              <w:adjustRightInd w:val="0"/>
              <w:snapToGrid w:val="0"/>
              <w:spacing w:line="240" w:lineRule="exact"/>
              <w:rPr>
                <w:rFonts w:hint="eastAsia" w:ascii="宋体" w:hAnsi="宋体" w:eastAsia="宋体" w:cs="宋体"/>
                <w:sz w:val="18"/>
                <w:szCs w:val="18"/>
              </w:rPr>
            </w:pPr>
            <w:r>
              <w:rPr>
                <w:rFonts w:hint="eastAsia" w:ascii="宋体" w:hAnsi="宋体" w:eastAsia="宋体" w:cs="宋体"/>
                <w:sz w:val="18"/>
                <w:szCs w:val="18"/>
                <w:lang w:val="en-US" w:eastAsia="zh-CN"/>
              </w:rPr>
              <w:t>认知电子商务法、数据电文法律制度、电子签名法律制度、电子认证法律制度、电子商合同法律制度、电子信息交易法律制度、电子商务安全问题、电子商务纠纷的解决。</w:t>
            </w:r>
          </w:p>
          <w:p>
            <w:pPr>
              <w:widowControl/>
              <w:adjustRightInd w:val="0"/>
              <w:snapToGrid w:val="0"/>
              <w:spacing w:line="240" w:lineRule="exact"/>
              <w:rPr>
                <w:rFonts w:hint="eastAsia" w:ascii="宋体" w:hAnsi="宋体" w:eastAsia="宋体" w:cs="宋体"/>
                <w:sz w:val="18"/>
                <w:szCs w:val="18"/>
              </w:rPr>
            </w:pPr>
          </w:p>
        </w:tc>
        <w:tc>
          <w:tcPr>
            <w:tcW w:w="317" w:type="pct"/>
            <w:shd w:val="clear" w:color="auto" w:fill="auto"/>
            <w:vAlign w:val="center"/>
          </w:tcPr>
          <w:p>
            <w:pPr>
              <w:shd w:val="clear"/>
              <w:adjustRightInd w:val="0"/>
              <w:snapToGrid w:val="0"/>
              <w:spacing w:line="230" w:lineRule="exact"/>
              <w:jc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highlight w:val="none"/>
                <w:shd w:val="clear" w:color="auto" w:fill="auto"/>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826" w:hRule="atLeast"/>
          <w:jc w:val="center"/>
        </w:trPr>
        <w:tc>
          <w:tcPr>
            <w:tcW w:w="308" w:type="pct"/>
            <w:shd w:val="clear" w:color="auto" w:fill="auto"/>
            <w:vAlign w:val="center"/>
          </w:tcPr>
          <w:p>
            <w:pPr>
              <w:widowControl/>
              <w:shd w:val="clear"/>
              <w:spacing w:line="180" w:lineRule="exact"/>
              <w:jc w:val="center"/>
              <w:textAlignment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kern w:val="0"/>
                <w:sz w:val="18"/>
                <w:szCs w:val="18"/>
                <w:highlight w:val="none"/>
                <w:shd w:val="clear" w:color="auto" w:fill="auto"/>
                <w:lang w:bidi="ar"/>
              </w:rPr>
              <w:t>6</w:t>
            </w:r>
          </w:p>
        </w:tc>
        <w:tc>
          <w:tcPr>
            <w:tcW w:w="1135" w:type="dxa"/>
            <w:shd w:val="clear" w:color="auto" w:fill="auto"/>
            <w:vAlign w:val="center"/>
          </w:tcPr>
          <w:p>
            <w:pPr>
              <w:widowControl/>
              <w:jc w:val="left"/>
              <w:textAlignment w:val="center"/>
              <w:rPr>
                <w:rFonts w:ascii="宋体" w:hAnsi="宋体" w:eastAsia="宋体" w:cs="宋体"/>
                <w:b/>
                <w:color w:val="auto"/>
                <w:sz w:val="18"/>
                <w:szCs w:val="18"/>
                <w:highlight w:val="none"/>
                <w:shd w:val="clear" w:color="auto" w:fill="auto"/>
              </w:rPr>
            </w:pPr>
            <w:r>
              <w:rPr>
                <w:rFonts w:hint="eastAsia" w:ascii="宋体" w:hAnsi="宋体" w:eastAsia="宋体" w:cs="宋体"/>
                <w:b/>
                <w:color w:val="auto"/>
                <w:sz w:val="18"/>
                <w:szCs w:val="18"/>
                <w:highlight w:val="none"/>
                <w:shd w:val="clear" w:color="auto" w:fill="auto"/>
              </w:rPr>
              <w:t>电子商务</w:t>
            </w:r>
            <w:r>
              <w:rPr>
                <w:rFonts w:hint="eastAsia" w:ascii="宋体" w:hAnsi="宋体" w:eastAsia="宋体" w:cs="宋体"/>
                <w:b/>
                <w:color w:val="auto"/>
                <w:sz w:val="18"/>
                <w:szCs w:val="18"/>
                <w:highlight w:val="none"/>
                <w:shd w:val="clear" w:color="auto" w:fill="auto"/>
                <w:lang w:val="en-US" w:eastAsia="zh-CN"/>
              </w:rPr>
              <w:t>综合</w:t>
            </w:r>
            <w:r>
              <w:rPr>
                <w:rFonts w:hint="eastAsia" w:ascii="宋体" w:hAnsi="宋体" w:eastAsia="宋体" w:cs="宋体"/>
                <w:b/>
                <w:color w:val="auto"/>
                <w:sz w:val="18"/>
                <w:szCs w:val="18"/>
                <w:highlight w:val="none"/>
                <w:shd w:val="clear" w:color="auto" w:fill="auto"/>
              </w:rPr>
              <w:t>实训</w:t>
            </w:r>
          </w:p>
        </w:tc>
        <w:tc>
          <w:tcPr>
            <w:tcW w:w="3180" w:type="dxa"/>
            <w:shd w:val="clear" w:color="auto" w:fill="auto"/>
            <w:vAlign w:val="center"/>
          </w:tcPr>
          <w:p>
            <w:pPr>
              <w:widowControl/>
              <w:adjustRightInd w:val="0"/>
              <w:snapToGrid w:val="0"/>
              <w:spacing w:line="240" w:lineRule="exact"/>
              <w:rPr>
                <w:rFonts w:hint="eastAsia" w:ascii="宋体" w:hAnsi="宋体" w:eastAsia="宋体" w:cs="宋体"/>
                <w:sz w:val="18"/>
                <w:szCs w:val="18"/>
              </w:rPr>
            </w:pPr>
            <w:r>
              <w:rPr>
                <w:rFonts w:hint="eastAsia" w:ascii="宋体" w:hAnsi="宋体" w:eastAsia="宋体" w:cs="宋体"/>
                <w:sz w:val="18"/>
                <w:szCs w:val="18"/>
                <w:lang w:val="en-US" w:eastAsia="zh-CN"/>
              </w:rPr>
              <w:t>通过学习使学生了解运营知识，能够进行网店规划，为网店选品与采购，掌握网店推广策略的制定，并能够进行数据分析进行网店优化。</w:t>
            </w:r>
          </w:p>
        </w:tc>
        <w:tc>
          <w:tcPr>
            <w:tcW w:w="4158" w:type="dxa"/>
            <w:shd w:val="clear" w:color="auto" w:fill="auto"/>
            <w:vAlign w:val="center"/>
          </w:tcPr>
          <w:p>
            <w:pPr>
              <w:widowControl/>
              <w:adjustRightInd w:val="0"/>
              <w:snapToGrid w:val="0"/>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市场数据分析、网店定位、网店运营策略制定、商品品类管理、商品选品与采购、商品价格制定、推广策略制定与实施、推广效果分析与优化、营销转化策略制定、营销效果转化分析、网店运营分析。</w:t>
            </w:r>
          </w:p>
          <w:p>
            <w:pPr>
              <w:widowControl/>
              <w:adjustRightInd w:val="0"/>
              <w:snapToGrid w:val="0"/>
              <w:spacing w:line="240" w:lineRule="exact"/>
              <w:rPr>
                <w:rFonts w:hint="eastAsia" w:ascii="宋体" w:hAnsi="宋体" w:eastAsia="宋体" w:cs="宋体"/>
                <w:sz w:val="18"/>
                <w:szCs w:val="18"/>
              </w:rPr>
            </w:pPr>
          </w:p>
        </w:tc>
        <w:tc>
          <w:tcPr>
            <w:tcW w:w="317" w:type="pct"/>
            <w:shd w:val="clear" w:color="auto" w:fill="auto"/>
            <w:vAlign w:val="center"/>
          </w:tcPr>
          <w:p>
            <w:pPr>
              <w:shd w:val="clear"/>
              <w:adjustRightInd w:val="0"/>
              <w:snapToGrid w:val="0"/>
              <w:spacing w:line="230" w:lineRule="exact"/>
              <w:jc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highlight w:val="none"/>
                <w:shd w:val="clear" w:color="auto" w:fill="auto"/>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797" w:hRule="atLeast"/>
          <w:jc w:val="center"/>
        </w:trPr>
        <w:tc>
          <w:tcPr>
            <w:tcW w:w="308" w:type="pct"/>
            <w:shd w:val="clear" w:color="auto" w:fill="auto"/>
            <w:vAlign w:val="center"/>
          </w:tcPr>
          <w:p>
            <w:pPr>
              <w:widowControl/>
              <w:shd w:val="clear"/>
              <w:spacing w:line="180" w:lineRule="exact"/>
              <w:jc w:val="center"/>
              <w:textAlignment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kern w:val="0"/>
                <w:sz w:val="18"/>
                <w:szCs w:val="18"/>
                <w:highlight w:val="none"/>
                <w:shd w:val="clear" w:color="auto" w:fill="auto"/>
                <w:lang w:bidi="ar"/>
              </w:rPr>
              <w:t>7</w:t>
            </w:r>
          </w:p>
        </w:tc>
        <w:tc>
          <w:tcPr>
            <w:tcW w:w="1135" w:type="dxa"/>
            <w:shd w:val="clear" w:color="auto" w:fill="auto"/>
            <w:vAlign w:val="center"/>
          </w:tcPr>
          <w:p>
            <w:pPr>
              <w:widowControl/>
              <w:jc w:val="left"/>
              <w:textAlignment w:val="center"/>
              <w:rPr>
                <w:rFonts w:ascii="宋体" w:hAnsi="宋体" w:eastAsia="宋体" w:cs="宋体"/>
                <w:b/>
                <w:color w:val="auto"/>
                <w:sz w:val="18"/>
                <w:szCs w:val="18"/>
                <w:highlight w:val="none"/>
                <w:shd w:val="clear" w:color="auto" w:fill="auto"/>
              </w:rPr>
            </w:pPr>
            <w:r>
              <w:rPr>
                <w:rFonts w:hint="eastAsia" w:ascii="宋体" w:hAnsi="宋体" w:eastAsia="宋体" w:cs="宋体"/>
                <w:b/>
                <w:color w:val="auto"/>
                <w:sz w:val="18"/>
                <w:szCs w:val="18"/>
                <w:highlight w:val="none"/>
                <w:shd w:val="clear" w:color="auto" w:fill="auto"/>
                <w:lang w:val="en-US" w:eastAsia="zh-CN"/>
              </w:rPr>
              <w:t>网店运营推广实训</w:t>
            </w:r>
          </w:p>
        </w:tc>
        <w:tc>
          <w:tcPr>
            <w:tcW w:w="3180" w:type="dxa"/>
            <w:shd w:val="clear" w:color="auto" w:fill="auto"/>
            <w:vAlign w:val="center"/>
          </w:tcPr>
          <w:p>
            <w:pPr>
              <w:widowControl/>
              <w:adjustRightInd w:val="0"/>
              <w:snapToGrid w:val="0"/>
              <w:spacing w:line="240" w:lineRule="exact"/>
              <w:rPr>
                <w:rFonts w:hint="eastAsia" w:ascii="宋体" w:hAnsi="宋体" w:eastAsia="宋体" w:cs="宋体"/>
                <w:sz w:val="18"/>
                <w:szCs w:val="18"/>
              </w:rPr>
            </w:pPr>
            <w:r>
              <w:rPr>
                <w:rFonts w:hint="eastAsia" w:ascii="宋体" w:hAnsi="宋体" w:eastAsia="宋体" w:cs="宋体"/>
                <w:sz w:val="18"/>
                <w:szCs w:val="18"/>
                <w:lang w:val="en-US" w:eastAsia="zh-CN"/>
              </w:rPr>
              <w:t>面向搜索引擎推广、信息流推广等岗位群，完成关键词挖掘与分析、商品标题制作、详情页优化、搜索推广策略制定、搜索推广账户搭建、搜索推广账户优化、信息流推广策略制定、信息流推广账户搭建、信息流推广账户优化等工作任务，具备网店推广能力。</w:t>
            </w:r>
          </w:p>
        </w:tc>
        <w:tc>
          <w:tcPr>
            <w:tcW w:w="4158" w:type="dxa"/>
            <w:shd w:val="clear" w:color="auto" w:fill="auto"/>
            <w:vAlign w:val="center"/>
          </w:tcPr>
          <w:p>
            <w:pPr>
              <w:widowControl/>
              <w:adjustRightInd w:val="0"/>
              <w:snapToGrid w:val="0"/>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利用虚拟仿真实训软件进行模拟训练， SEO 优化、SEM 推广以及信息流推广 3 大工作领域。</w:t>
            </w:r>
          </w:p>
          <w:p>
            <w:pPr>
              <w:widowControl/>
              <w:adjustRightInd w:val="0"/>
              <w:snapToGrid w:val="0"/>
              <w:spacing w:line="240" w:lineRule="exact"/>
              <w:rPr>
                <w:rFonts w:hint="eastAsia" w:ascii="宋体" w:hAnsi="宋体" w:eastAsia="宋体" w:cs="宋体"/>
                <w:sz w:val="18"/>
                <w:szCs w:val="18"/>
              </w:rPr>
            </w:pPr>
          </w:p>
        </w:tc>
        <w:tc>
          <w:tcPr>
            <w:tcW w:w="317" w:type="pct"/>
            <w:shd w:val="clear" w:color="auto" w:fill="auto"/>
            <w:vAlign w:val="center"/>
          </w:tcPr>
          <w:p>
            <w:pPr>
              <w:shd w:val="clear"/>
              <w:adjustRightInd w:val="0"/>
              <w:snapToGrid w:val="0"/>
              <w:spacing w:line="230" w:lineRule="exact"/>
              <w:jc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highlight w:val="none"/>
                <w:shd w:val="clear" w:color="auto" w:fill="auto"/>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6" w:type="dxa"/>
            <w:left w:w="36" w:type="dxa"/>
            <w:bottom w:w="36" w:type="dxa"/>
            <w:right w:w="36" w:type="dxa"/>
          </w:tblCellMar>
        </w:tblPrEx>
        <w:trPr>
          <w:trHeight w:val="1479" w:hRule="atLeast"/>
          <w:jc w:val="center"/>
        </w:trPr>
        <w:tc>
          <w:tcPr>
            <w:tcW w:w="308" w:type="pct"/>
            <w:shd w:val="clear" w:color="auto" w:fill="auto"/>
            <w:vAlign w:val="center"/>
          </w:tcPr>
          <w:p>
            <w:pPr>
              <w:widowControl/>
              <w:shd w:val="clear"/>
              <w:spacing w:line="180" w:lineRule="exact"/>
              <w:jc w:val="center"/>
              <w:textAlignment w:val="center"/>
              <w:rPr>
                <w:rFonts w:ascii="宋体" w:hAnsi="宋体" w:eastAsia="宋体" w:cs="宋体"/>
                <w:color w:val="000000"/>
                <w:kern w:val="0"/>
                <w:sz w:val="18"/>
                <w:szCs w:val="18"/>
                <w:highlight w:val="none"/>
                <w:shd w:val="clear" w:color="auto" w:fill="auto"/>
                <w:lang w:bidi="ar"/>
              </w:rPr>
            </w:pPr>
            <w:r>
              <w:rPr>
                <w:rFonts w:hint="eastAsia" w:ascii="宋体" w:hAnsi="宋体" w:eastAsia="宋体" w:cs="宋体"/>
                <w:color w:val="000000"/>
                <w:kern w:val="0"/>
                <w:sz w:val="18"/>
                <w:szCs w:val="18"/>
                <w:highlight w:val="none"/>
                <w:shd w:val="clear" w:color="auto" w:fill="auto"/>
                <w:lang w:bidi="ar"/>
              </w:rPr>
              <w:t>8</w:t>
            </w:r>
          </w:p>
        </w:tc>
        <w:tc>
          <w:tcPr>
            <w:tcW w:w="1135" w:type="dxa"/>
            <w:shd w:val="clear" w:color="auto" w:fill="auto"/>
            <w:vAlign w:val="center"/>
          </w:tcPr>
          <w:p>
            <w:pPr>
              <w:widowControl/>
              <w:jc w:val="left"/>
              <w:textAlignment w:val="center"/>
              <w:rPr>
                <w:rFonts w:ascii="宋体" w:hAnsi="宋体" w:eastAsia="宋体" w:cs="宋体"/>
                <w:b/>
                <w:color w:val="auto"/>
                <w:sz w:val="18"/>
                <w:szCs w:val="18"/>
                <w:highlight w:val="none"/>
                <w:shd w:val="clear" w:color="auto" w:fill="auto"/>
              </w:rPr>
            </w:pPr>
            <w:r>
              <w:rPr>
                <w:rFonts w:hint="eastAsia" w:ascii="宋体" w:hAnsi="宋体" w:eastAsia="宋体" w:cs="宋体"/>
                <w:b/>
                <w:color w:val="auto"/>
                <w:sz w:val="18"/>
                <w:szCs w:val="18"/>
                <w:highlight w:val="none"/>
                <w:shd w:val="clear" w:color="auto" w:fill="auto"/>
              </w:rPr>
              <w:t>营销策划</w:t>
            </w:r>
          </w:p>
        </w:tc>
        <w:tc>
          <w:tcPr>
            <w:tcW w:w="3180" w:type="dxa"/>
            <w:shd w:val="clear" w:color="auto" w:fill="auto"/>
            <w:vAlign w:val="center"/>
          </w:tcPr>
          <w:p>
            <w:pPr>
              <w:widowControl/>
              <w:adjustRightInd w:val="0"/>
              <w:snapToGrid w:val="0"/>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掌握营销策划的基本技能，具有策划企业市场调研的能力，具有营销渠道策划和品牌广告策划能力，具有新产品上市策划与价格策划能力。掌握目标价格策划与价格调整的基本技能。</w:t>
            </w:r>
          </w:p>
          <w:p>
            <w:pPr>
              <w:widowControl/>
              <w:adjustRightInd w:val="0"/>
              <w:snapToGrid w:val="0"/>
              <w:spacing w:line="240" w:lineRule="exact"/>
              <w:rPr>
                <w:rFonts w:hint="eastAsia" w:ascii="宋体" w:hAnsi="宋体" w:eastAsia="宋体" w:cs="宋体"/>
                <w:sz w:val="18"/>
                <w:szCs w:val="18"/>
              </w:rPr>
            </w:pPr>
          </w:p>
        </w:tc>
        <w:tc>
          <w:tcPr>
            <w:tcW w:w="4158" w:type="dxa"/>
            <w:shd w:val="clear" w:color="auto" w:fill="auto"/>
            <w:vAlign w:val="center"/>
          </w:tcPr>
          <w:p>
            <w:pPr>
              <w:widowControl/>
              <w:adjustRightInd w:val="0"/>
              <w:snapToGrid w:val="0"/>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市场营销策划的基本理论和方法、市场营销战略策划、市场营销战术策划、市场营销创新策划、市场营销战略的调整。</w:t>
            </w:r>
          </w:p>
          <w:p>
            <w:pPr>
              <w:widowControl/>
              <w:adjustRightInd w:val="0"/>
              <w:snapToGrid w:val="0"/>
              <w:spacing w:line="240" w:lineRule="exact"/>
              <w:rPr>
                <w:rFonts w:hint="eastAsia" w:ascii="宋体" w:hAnsi="宋体" w:eastAsia="宋体" w:cs="宋体"/>
                <w:sz w:val="18"/>
                <w:szCs w:val="18"/>
              </w:rPr>
            </w:pPr>
          </w:p>
        </w:tc>
        <w:tc>
          <w:tcPr>
            <w:tcW w:w="317" w:type="pct"/>
            <w:shd w:val="clear" w:color="auto" w:fill="auto"/>
            <w:vAlign w:val="center"/>
          </w:tcPr>
          <w:p>
            <w:pPr>
              <w:shd w:val="clear"/>
              <w:adjustRightInd w:val="0"/>
              <w:snapToGrid w:val="0"/>
              <w:spacing w:line="230" w:lineRule="exact"/>
              <w:jc w:val="center"/>
              <w:rPr>
                <w:rFonts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highlight w:val="none"/>
                <w:shd w:val="clear" w:color="auto" w:fill="auto"/>
              </w:rPr>
              <w:t>32</w:t>
            </w:r>
          </w:p>
        </w:tc>
      </w:tr>
    </w:tbl>
    <w:p>
      <w:pPr>
        <w:pStyle w:val="4"/>
        <w:widowControl/>
        <w:numPr>
          <w:ilvl w:val="0"/>
          <w:numId w:val="2"/>
        </w:numPr>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实践性教学环节</w:t>
      </w:r>
    </w:p>
    <w:p>
      <w:pPr>
        <w:widowControl/>
        <w:shd w:val="clear"/>
        <w:spacing w:line="360" w:lineRule="auto"/>
        <w:ind w:firstLine="560" w:firstLineChars="200"/>
        <w:jc w:val="left"/>
        <w:rPr>
          <w:rFonts w:ascii="仿宋" w:hAnsi="仿宋" w:eastAsia="仿宋" w:cs="仿宋"/>
          <w:sz w:val="28"/>
          <w:szCs w:val="28"/>
          <w:highlight w:val="none"/>
          <w:shd w:val="clear" w:color="auto" w:fill="auto"/>
        </w:rPr>
      </w:pPr>
      <w:r>
        <w:rPr>
          <w:rFonts w:hint="eastAsia" w:ascii="仿宋" w:hAnsi="仿宋" w:eastAsia="仿宋" w:cs="仿宋"/>
          <w:color w:val="000000"/>
          <w:kern w:val="0"/>
          <w:sz w:val="28"/>
          <w:szCs w:val="28"/>
          <w:highlight w:val="none"/>
          <w:shd w:val="clear" w:color="auto" w:fill="auto"/>
          <w:lang w:bidi="ar"/>
        </w:rPr>
        <w:t xml:space="preserve">实践性教学应贯穿于人才培养全过程。实践性教学主要包括实习实训、毕业设计、社会实践活动等形式。 </w:t>
      </w:r>
    </w:p>
    <w:p>
      <w:pPr>
        <w:widowControl/>
        <w:shd w:val="clear"/>
        <w:spacing w:line="360" w:lineRule="auto"/>
        <w:ind w:firstLine="560" w:firstLineChars="200"/>
        <w:jc w:val="left"/>
        <w:rPr>
          <w:rFonts w:ascii="仿宋" w:hAnsi="仿宋" w:eastAsia="仿宋" w:cs="仿宋"/>
          <w:sz w:val="28"/>
          <w:szCs w:val="28"/>
          <w:highlight w:val="none"/>
          <w:shd w:val="clear" w:color="auto" w:fill="auto"/>
        </w:rPr>
      </w:pPr>
      <w:r>
        <w:rPr>
          <w:rFonts w:hint="eastAsia" w:ascii="仿宋" w:hAnsi="仿宋" w:eastAsia="仿宋" w:cs="仿宋"/>
          <w:color w:val="000000"/>
          <w:kern w:val="0"/>
          <w:sz w:val="28"/>
          <w:szCs w:val="28"/>
          <w:highlight w:val="none"/>
          <w:shd w:val="clear" w:color="auto" w:fill="auto"/>
          <w:lang w:bidi="ar"/>
        </w:rPr>
        <w:t xml:space="preserve">（1）实训 </w:t>
      </w:r>
    </w:p>
    <w:p>
      <w:pPr>
        <w:widowControl/>
        <w:shd w:val="clear"/>
        <w:spacing w:line="360" w:lineRule="auto"/>
        <w:ind w:firstLine="560" w:firstLineChars="200"/>
        <w:jc w:val="left"/>
        <w:rPr>
          <w:rFonts w:ascii="仿宋" w:hAnsi="仿宋" w:eastAsia="仿宋" w:cs="仿宋"/>
          <w:sz w:val="28"/>
          <w:szCs w:val="28"/>
          <w:highlight w:val="none"/>
          <w:shd w:val="clear" w:color="auto" w:fill="auto"/>
        </w:rPr>
      </w:pPr>
      <w:r>
        <w:rPr>
          <w:rFonts w:hint="eastAsia" w:ascii="仿宋" w:hAnsi="仿宋" w:eastAsia="仿宋" w:cs="仿宋"/>
          <w:color w:val="000000"/>
          <w:kern w:val="0"/>
          <w:sz w:val="28"/>
          <w:szCs w:val="28"/>
          <w:highlight w:val="none"/>
          <w:shd w:val="clear" w:color="auto" w:fill="auto"/>
          <w:lang w:bidi="ar"/>
        </w:rPr>
        <w:t>在校内外进行行业运营、网店运营、社群运营、数据化运营、营销活动策划与执行、销售方案执行与优化、视觉营销设计、全渠道营销推广等实训，包括单项技能实训、综合能力实训、生产性实训等。</w:t>
      </w:r>
    </w:p>
    <w:p>
      <w:pPr>
        <w:widowControl/>
        <w:shd w:val="clear"/>
        <w:spacing w:line="360" w:lineRule="auto"/>
        <w:ind w:firstLine="560" w:firstLineChars="200"/>
        <w:jc w:val="left"/>
        <w:rPr>
          <w:rFonts w:ascii="仿宋" w:hAnsi="仿宋" w:eastAsia="仿宋" w:cs="仿宋"/>
          <w:sz w:val="28"/>
          <w:szCs w:val="28"/>
          <w:highlight w:val="none"/>
          <w:shd w:val="clear" w:color="auto" w:fill="auto"/>
        </w:rPr>
      </w:pPr>
      <w:r>
        <w:rPr>
          <w:rFonts w:hint="eastAsia" w:ascii="仿宋" w:hAnsi="仿宋" w:eastAsia="仿宋" w:cs="仿宋"/>
          <w:color w:val="000000"/>
          <w:kern w:val="0"/>
          <w:sz w:val="28"/>
          <w:szCs w:val="28"/>
          <w:highlight w:val="none"/>
          <w:shd w:val="clear" w:color="auto" w:fill="auto"/>
          <w:lang w:bidi="ar"/>
        </w:rPr>
        <w:t xml:space="preserve">（2）实习 </w:t>
      </w:r>
    </w:p>
    <w:p>
      <w:pPr>
        <w:widowControl/>
        <w:shd w:val="clear"/>
        <w:spacing w:line="360" w:lineRule="auto"/>
        <w:ind w:firstLine="560" w:firstLineChars="200"/>
        <w:jc w:val="left"/>
        <w:rPr>
          <w:rFonts w:hint="eastAsia"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在生产制造、商贸流通及现代服务业的电子商务应用企业进行运营主管、全渠道营销主管、O2O 销售主管、视觉营销设计师等实习，包括认识实习和岗位实习。学校应建立稳定、够用的实习基地，选派专门的实习指导教师和人员，组织开展专业对口实习，加强对学生实习的指导、管理和考核。</w:t>
      </w:r>
    </w:p>
    <w:p>
      <w:pPr>
        <w:widowControl/>
        <w:shd w:val="clear"/>
        <w:spacing w:line="360" w:lineRule="auto"/>
        <w:ind w:firstLine="560" w:firstLineChars="200"/>
        <w:jc w:val="left"/>
        <w:rPr>
          <w:rFonts w:ascii="仿宋" w:hAnsi="仿宋" w:eastAsia="仿宋" w:cs="仿宋"/>
          <w:sz w:val="28"/>
          <w:szCs w:val="28"/>
          <w:highlight w:val="none"/>
          <w:shd w:val="clear" w:color="auto" w:fill="auto"/>
        </w:rPr>
      </w:pPr>
      <w:r>
        <w:rPr>
          <w:rFonts w:hint="eastAsia" w:ascii="仿宋" w:hAnsi="仿宋" w:eastAsia="仿宋" w:cs="仿宋"/>
          <w:color w:val="000000"/>
          <w:kern w:val="0"/>
          <w:sz w:val="28"/>
          <w:szCs w:val="28"/>
          <w:highlight w:val="none"/>
          <w:shd w:val="clear" w:color="auto" w:fill="auto"/>
          <w:lang w:bidi="ar"/>
        </w:rPr>
        <w:t>实习实训既是实践性教学，也是专业课教学的重要内容，应注重理论与实践一体化教学。学校可根据技能人才培养规律，结合企业生产周期，优化学期安排，灵活开展实践性教学。 应严格执行《职业学校学生实习管理规定》和相关专业岗位实习标准要求。</w:t>
      </w:r>
    </w:p>
    <w:p>
      <w:pPr>
        <w:pStyle w:val="4"/>
        <w:widowControl/>
        <w:numPr>
          <w:ilvl w:val="0"/>
          <w:numId w:val="2"/>
        </w:numPr>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相关要求</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w:t>
      </w:r>
    </w:p>
    <w:p>
      <w:pPr>
        <w:pStyle w:val="4"/>
        <w:widowControl/>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（二）学时安排</w:t>
      </w:r>
    </w:p>
    <w:p>
      <w:pPr>
        <w:shd w:val="clear"/>
        <w:spacing w:line="360" w:lineRule="auto"/>
        <w:ind w:firstLine="528" w:firstLineChars="200"/>
        <w:rPr>
          <w:rFonts w:ascii="楷体" w:hAnsi="楷体" w:eastAsia="楷体" w:cs="楷体"/>
          <w:color w:val="000000"/>
          <w:sz w:val="28"/>
          <w:szCs w:val="28"/>
          <w:highlight w:val="none"/>
          <w:shd w:val="clear" w:color="auto" w:fill="auto"/>
        </w:rPr>
      </w:pPr>
      <w:r>
        <w:rPr>
          <w:rFonts w:hint="eastAsia" w:ascii="楷体" w:hAnsi="楷体" w:eastAsia="楷体" w:cs="宋体"/>
          <w:color w:val="000000"/>
          <w:spacing w:val="-8"/>
          <w:sz w:val="28"/>
          <w:szCs w:val="28"/>
          <w:highlight w:val="none"/>
          <w:shd w:val="clear" w:color="auto" w:fill="auto"/>
        </w:rPr>
        <w:t>1.教学活动周进程安排表</w:t>
      </w:r>
    </w:p>
    <w:p>
      <w:pPr>
        <w:shd w:val="clear"/>
        <w:spacing w:after="156" w:afterLines="50" w:line="440" w:lineRule="exact"/>
        <w:jc w:val="center"/>
        <w:rPr>
          <w:rFonts w:ascii="仿宋" w:hAnsi="仿宋" w:eastAsia="仿宋" w:cs="宋体"/>
          <w:b/>
          <w:kern w:val="0"/>
          <w:szCs w:val="21"/>
          <w:highlight w:val="none"/>
          <w:shd w:val="clear" w:color="auto" w:fill="auto"/>
        </w:rPr>
      </w:pPr>
      <w:r>
        <w:rPr>
          <w:rFonts w:hint="eastAsia" w:ascii="仿宋" w:hAnsi="仿宋" w:eastAsia="仿宋" w:cs="宋体"/>
          <w:b/>
          <w:kern w:val="0"/>
          <w:szCs w:val="21"/>
          <w:highlight w:val="none"/>
          <w:shd w:val="clear" w:color="auto" w:fill="auto"/>
        </w:rPr>
        <w:t>表6  教学时间分配表</w:t>
      </w:r>
    </w:p>
    <w:tbl>
      <w:tblPr>
        <w:tblStyle w:val="5"/>
        <w:tblW w:w="8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7"/>
        <w:gridCol w:w="1960"/>
        <w:gridCol w:w="794"/>
        <w:gridCol w:w="794"/>
        <w:gridCol w:w="794"/>
        <w:gridCol w:w="794"/>
        <w:gridCol w:w="794"/>
        <w:gridCol w:w="794"/>
        <w:gridCol w:w="7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17" w:type="dxa"/>
            <w:gridSpan w:val="2"/>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学    年</w:t>
            </w:r>
          </w:p>
        </w:tc>
        <w:tc>
          <w:tcPr>
            <w:tcW w:w="1588" w:type="dxa"/>
            <w:gridSpan w:val="2"/>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一</w:t>
            </w:r>
          </w:p>
        </w:tc>
        <w:tc>
          <w:tcPr>
            <w:tcW w:w="1588" w:type="dxa"/>
            <w:gridSpan w:val="2"/>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二</w:t>
            </w:r>
          </w:p>
        </w:tc>
        <w:tc>
          <w:tcPr>
            <w:tcW w:w="1588" w:type="dxa"/>
            <w:gridSpan w:val="2"/>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三</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17" w:type="dxa"/>
            <w:gridSpan w:val="2"/>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学    期</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Ⅰ</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Ⅱ</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Ⅲ</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Ⅳ</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Ⅴ</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Ⅵ</w:t>
            </w: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sz w:val="20"/>
                <w:szCs w:val="2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17" w:type="dxa"/>
            <w:gridSpan w:val="2"/>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学期周数</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20</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类    别</w:t>
            </w:r>
          </w:p>
        </w:tc>
        <w:tc>
          <w:tcPr>
            <w:tcW w:w="5558" w:type="dxa"/>
            <w:gridSpan w:val="7"/>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color w:val="000000"/>
                <w:sz w:val="20"/>
                <w:szCs w:val="20"/>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w:t>
            </w:r>
          </w:p>
        </w:tc>
        <w:tc>
          <w:tcPr>
            <w:tcW w:w="1960"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sz w:val="20"/>
                <w:szCs w:val="20"/>
                <w:highlight w:val="none"/>
                <w:shd w:val="clear" w:color="auto" w:fill="auto"/>
              </w:rPr>
              <w:t>入学教育、军训</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3</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2"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w:t>
            </w:r>
          </w:p>
        </w:tc>
        <w:tc>
          <w:tcPr>
            <w:tcW w:w="1960"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课程教学</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16</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16</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16</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16</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2"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3</w:t>
            </w:r>
          </w:p>
        </w:tc>
        <w:tc>
          <w:tcPr>
            <w:tcW w:w="1960"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课程、岗位集中实训</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4</w:t>
            </w:r>
          </w:p>
        </w:tc>
        <w:tc>
          <w:tcPr>
            <w:tcW w:w="1960"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lang w:val="en-US" w:eastAsia="zh-CN"/>
              </w:rPr>
              <w:t>岗位</w:t>
            </w:r>
            <w:r>
              <w:rPr>
                <w:rFonts w:hint="eastAsia" w:ascii="宋体" w:hAnsi="宋体" w:eastAsia="宋体" w:cs="宋体"/>
                <w:b w:val="0"/>
                <w:color w:val="000000"/>
                <w:kern w:val="0"/>
                <w:sz w:val="20"/>
                <w:szCs w:val="20"/>
                <w:highlight w:val="none"/>
                <w:shd w:val="clear" w:color="auto" w:fill="auto"/>
              </w:rPr>
              <w:t>实习</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12</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16</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5</w:t>
            </w:r>
          </w:p>
        </w:tc>
        <w:tc>
          <w:tcPr>
            <w:tcW w:w="1960"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lang w:val="en-US" w:eastAsia="zh-CN"/>
              </w:rPr>
              <w:t>岗位</w:t>
            </w:r>
            <w:r>
              <w:rPr>
                <w:rFonts w:hint="eastAsia" w:ascii="宋体" w:hAnsi="宋体" w:eastAsia="宋体" w:cs="宋体"/>
                <w:b w:val="0"/>
                <w:color w:val="000000"/>
                <w:kern w:val="0"/>
                <w:sz w:val="20"/>
                <w:szCs w:val="20"/>
                <w:highlight w:val="none"/>
                <w:shd w:val="clear" w:color="auto" w:fill="auto"/>
              </w:rPr>
              <w:t>实习总结、招聘</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3</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2"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6</w:t>
            </w:r>
          </w:p>
        </w:tc>
        <w:tc>
          <w:tcPr>
            <w:tcW w:w="1960"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毕业设计及答辩</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4</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7</w:t>
            </w:r>
          </w:p>
        </w:tc>
        <w:tc>
          <w:tcPr>
            <w:tcW w:w="1960"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sz w:val="20"/>
                <w:szCs w:val="20"/>
                <w:highlight w:val="none"/>
                <w:shd w:val="clear" w:color="auto" w:fill="auto"/>
              </w:rPr>
              <w:t>毕业教育</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8</w:t>
            </w:r>
          </w:p>
        </w:tc>
        <w:tc>
          <w:tcPr>
            <w:tcW w:w="1960"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考试周数</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9</w:t>
            </w:r>
          </w:p>
        </w:tc>
        <w:tc>
          <w:tcPr>
            <w:tcW w:w="1960"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bCs/>
                <w:color w:val="000000"/>
                <w:kern w:val="0"/>
                <w:sz w:val="20"/>
                <w:szCs w:val="20"/>
                <w:highlight w:val="none"/>
                <w:shd w:val="clear" w:color="auto" w:fill="auto"/>
              </w:rPr>
              <w:t>技能等级鉴定周</w:t>
            </w:r>
            <w:r>
              <w:rPr>
                <w:rFonts w:hint="eastAsia" w:ascii="宋体" w:hAnsi="宋体" w:eastAsia="宋体" w:cs="宋体"/>
                <w:b w:val="0"/>
                <w:color w:val="000000"/>
                <w:kern w:val="0"/>
                <w:sz w:val="20"/>
                <w:szCs w:val="20"/>
                <w:highlight w:val="none"/>
                <w:shd w:val="clear" w:color="auto" w:fill="auto"/>
              </w:rPr>
              <w:t>数</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1</w:t>
            </w:r>
          </w:p>
        </w:tc>
        <w:tc>
          <w:tcPr>
            <w:tcW w:w="794" w:type="dxa"/>
            <w:tcBorders>
              <w:top w:val="single" w:color="auto" w:sz="4" w:space="0"/>
              <w:left w:val="single" w:color="auto" w:sz="4" w:space="0"/>
              <w:bottom w:val="single" w:color="auto" w:sz="4" w:space="0"/>
              <w:right w:val="single" w:color="auto" w:sz="4" w:space="0"/>
            </w:tcBorders>
            <w:vAlign w:val="center"/>
          </w:tcPr>
          <w:p>
            <w:pPr>
              <w:pStyle w:val="13"/>
              <w:shd w:val="clear"/>
              <w:spacing w:line="440" w:lineRule="exact"/>
              <w:rPr>
                <w:rFonts w:ascii="宋体" w:hAnsi="宋体" w:eastAsia="宋体" w:cs="宋体"/>
                <w:b w:val="0"/>
                <w:color w:val="000000"/>
                <w:kern w:val="0"/>
                <w:sz w:val="20"/>
                <w:szCs w:val="20"/>
                <w:highlight w:val="none"/>
                <w:shd w:val="clear" w:color="auto" w:fill="auto"/>
              </w:rPr>
            </w:pPr>
            <w:r>
              <w:rPr>
                <w:rFonts w:hint="eastAsia" w:ascii="宋体" w:hAnsi="宋体" w:eastAsia="宋体" w:cs="宋体"/>
                <w:b w:val="0"/>
                <w:color w:val="000000"/>
                <w:kern w:val="0"/>
                <w:sz w:val="20"/>
                <w:szCs w:val="20"/>
                <w:highlight w:val="none"/>
                <w:shd w:val="clear" w:color="auto" w:fill="auto"/>
              </w:rPr>
              <w:t>5</w:t>
            </w:r>
          </w:p>
        </w:tc>
      </w:tr>
    </w:tbl>
    <w:p>
      <w:pPr>
        <w:shd w:val="clear"/>
        <w:spacing w:line="360" w:lineRule="auto"/>
        <w:ind w:firstLine="528" w:firstLineChars="200"/>
        <w:rPr>
          <w:rFonts w:ascii="楷体" w:hAnsi="楷体" w:eastAsia="楷体" w:cs="宋体"/>
          <w:color w:val="000000"/>
          <w:spacing w:val="-8"/>
          <w:sz w:val="28"/>
          <w:szCs w:val="28"/>
          <w:highlight w:val="none"/>
          <w:shd w:val="clear" w:color="auto" w:fill="auto"/>
        </w:rPr>
      </w:pPr>
      <w:r>
        <w:rPr>
          <w:rFonts w:hint="eastAsia" w:ascii="楷体" w:hAnsi="楷体" w:eastAsia="楷体" w:cs="宋体"/>
          <w:color w:val="000000"/>
          <w:spacing w:val="-8"/>
          <w:sz w:val="28"/>
          <w:szCs w:val="28"/>
          <w:highlight w:val="none"/>
          <w:shd w:val="clear" w:color="auto" w:fill="auto"/>
        </w:rPr>
        <w:t>2.课程体系学时、学分结构表</w:t>
      </w:r>
    </w:p>
    <w:p>
      <w:pPr>
        <w:shd w:val="clear"/>
        <w:spacing w:line="380" w:lineRule="exact"/>
        <w:jc w:val="center"/>
        <w:rPr>
          <w:rFonts w:ascii="仿宋" w:hAnsi="仿宋" w:eastAsia="仿宋"/>
          <w:b/>
          <w:color w:val="000000"/>
          <w:szCs w:val="21"/>
          <w:highlight w:val="none"/>
          <w:shd w:val="clear" w:color="auto" w:fill="auto"/>
        </w:rPr>
      </w:pPr>
      <w:bookmarkStart w:id="0" w:name="_Hlk48833028"/>
      <w:r>
        <w:rPr>
          <w:rFonts w:hint="eastAsia" w:ascii="仿宋" w:hAnsi="仿宋" w:eastAsia="仿宋"/>
          <w:b/>
          <w:color w:val="000000"/>
          <w:szCs w:val="21"/>
          <w:highlight w:val="none"/>
          <w:shd w:val="clear" w:color="auto" w:fill="auto"/>
        </w:rPr>
        <w:t>表7 课程体系学时、学分分配表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46"/>
        <w:gridCol w:w="1050"/>
        <w:gridCol w:w="679"/>
        <w:gridCol w:w="1542"/>
        <w:gridCol w:w="559"/>
        <w:gridCol w:w="559"/>
        <w:gridCol w:w="559"/>
        <w:gridCol w:w="80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tcMar>
              <w:top w:w="12" w:type="dxa"/>
              <w:left w:w="12" w:type="dxa"/>
              <w:right w:w="12" w:type="dxa"/>
            </w:tcMar>
            <w:vAlign w:val="center"/>
          </w:tcPr>
          <w:p>
            <w:pPr>
              <w:widowControl/>
              <w:shd w:val="clear"/>
              <w:jc w:val="center"/>
              <w:textAlignment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课程类别</w:t>
            </w:r>
          </w:p>
        </w:tc>
        <w:tc>
          <w:tcPr>
            <w:tcW w:w="0" w:type="auto"/>
            <w:vMerge w:val="restart"/>
            <w:tcMar>
              <w:top w:w="12" w:type="dxa"/>
              <w:left w:w="12" w:type="dxa"/>
              <w:right w:w="12" w:type="dxa"/>
            </w:tcMar>
            <w:vAlign w:val="center"/>
          </w:tcPr>
          <w:p>
            <w:pPr>
              <w:widowControl/>
              <w:shd w:val="clear"/>
              <w:jc w:val="center"/>
              <w:textAlignment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课程门数</w:t>
            </w:r>
          </w:p>
        </w:tc>
        <w:tc>
          <w:tcPr>
            <w:tcW w:w="0" w:type="auto"/>
            <w:gridSpan w:val="2"/>
            <w:tcMar>
              <w:top w:w="12" w:type="dxa"/>
              <w:left w:w="12" w:type="dxa"/>
              <w:right w:w="12" w:type="dxa"/>
            </w:tcMar>
            <w:vAlign w:val="center"/>
          </w:tcPr>
          <w:p>
            <w:pPr>
              <w:widowControl/>
              <w:shd w:val="clear"/>
              <w:jc w:val="center"/>
              <w:textAlignment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学分结构</w:t>
            </w:r>
          </w:p>
        </w:tc>
        <w:tc>
          <w:tcPr>
            <w:tcW w:w="0" w:type="auto"/>
            <w:gridSpan w:val="5"/>
            <w:tcMar>
              <w:top w:w="12" w:type="dxa"/>
              <w:left w:w="12" w:type="dxa"/>
              <w:right w:w="12" w:type="dxa"/>
            </w:tcMar>
            <w:vAlign w:val="center"/>
          </w:tcPr>
          <w:p>
            <w:pPr>
              <w:widowControl/>
              <w:shd w:val="clear"/>
              <w:jc w:val="center"/>
              <w:textAlignment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学时结构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Mar>
              <w:top w:w="12" w:type="dxa"/>
              <w:left w:w="12" w:type="dxa"/>
              <w:right w:w="12" w:type="dxa"/>
            </w:tcMar>
            <w:vAlign w:val="center"/>
          </w:tcPr>
          <w:p>
            <w:pPr>
              <w:shd w:val="clear"/>
              <w:jc w:val="center"/>
              <w:rPr>
                <w:rFonts w:ascii="宋体" w:hAnsi="宋体" w:eastAsia="宋体" w:cs="宋体"/>
                <w:b/>
                <w:sz w:val="20"/>
                <w:szCs w:val="20"/>
                <w:highlight w:val="none"/>
                <w:shd w:val="clear" w:color="auto" w:fill="auto"/>
              </w:rPr>
            </w:pPr>
          </w:p>
        </w:tc>
        <w:tc>
          <w:tcPr>
            <w:tcW w:w="0" w:type="auto"/>
            <w:vMerge w:val="continue"/>
            <w:tcMar>
              <w:top w:w="12" w:type="dxa"/>
              <w:left w:w="12" w:type="dxa"/>
              <w:right w:w="12" w:type="dxa"/>
            </w:tcMar>
            <w:vAlign w:val="center"/>
          </w:tcPr>
          <w:p>
            <w:pPr>
              <w:shd w:val="clear"/>
              <w:jc w:val="center"/>
              <w:rPr>
                <w:rFonts w:ascii="宋体" w:hAnsi="宋体" w:eastAsia="宋体" w:cs="宋体"/>
                <w:b/>
                <w:sz w:val="20"/>
                <w:szCs w:val="20"/>
                <w:highlight w:val="none"/>
                <w:shd w:val="clear" w:color="auto" w:fill="auto"/>
              </w:rPr>
            </w:pPr>
          </w:p>
        </w:tc>
        <w:tc>
          <w:tcPr>
            <w:tcW w:w="0" w:type="auto"/>
            <w:vMerge w:val="restart"/>
            <w:tcMar>
              <w:top w:w="12" w:type="dxa"/>
              <w:left w:w="12" w:type="dxa"/>
              <w:right w:w="12" w:type="dxa"/>
            </w:tcMar>
            <w:vAlign w:val="center"/>
          </w:tcPr>
          <w:p>
            <w:pPr>
              <w:widowControl/>
              <w:shd w:val="clear"/>
              <w:jc w:val="center"/>
              <w:textAlignment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学分</w:t>
            </w:r>
          </w:p>
        </w:tc>
        <w:tc>
          <w:tcPr>
            <w:tcW w:w="0" w:type="auto"/>
            <w:vMerge w:val="restart"/>
            <w:tcMar>
              <w:top w:w="12" w:type="dxa"/>
              <w:left w:w="12" w:type="dxa"/>
              <w:right w:w="12" w:type="dxa"/>
            </w:tcMar>
            <w:vAlign w:val="center"/>
          </w:tcPr>
          <w:p>
            <w:pPr>
              <w:widowControl/>
              <w:shd w:val="clear"/>
              <w:jc w:val="center"/>
              <w:textAlignment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占总学分比例</w:t>
            </w:r>
          </w:p>
        </w:tc>
        <w:tc>
          <w:tcPr>
            <w:tcW w:w="0" w:type="auto"/>
            <w:gridSpan w:val="3"/>
            <w:tcMar>
              <w:top w:w="12" w:type="dxa"/>
              <w:left w:w="12" w:type="dxa"/>
              <w:right w:w="12" w:type="dxa"/>
            </w:tcMar>
            <w:vAlign w:val="center"/>
          </w:tcPr>
          <w:p>
            <w:pPr>
              <w:widowControl/>
              <w:shd w:val="clear"/>
              <w:jc w:val="center"/>
              <w:textAlignment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学时数</w:t>
            </w:r>
          </w:p>
        </w:tc>
        <w:tc>
          <w:tcPr>
            <w:tcW w:w="0" w:type="auto"/>
            <w:gridSpan w:val="2"/>
            <w:tcMar>
              <w:top w:w="12" w:type="dxa"/>
              <w:left w:w="12" w:type="dxa"/>
              <w:right w:w="12" w:type="dxa"/>
            </w:tcMar>
            <w:vAlign w:val="center"/>
          </w:tcPr>
          <w:p>
            <w:pPr>
              <w:widowControl/>
              <w:shd w:val="clear"/>
              <w:jc w:val="center"/>
              <w:textAlignment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占总学时比例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Mar>
              <w:top w:w="12" w:type="dxa"/>
              <w:left w:w="12" w:type="dxa"/>
              <w:right w:w="12" w:type="dxa"/>
            </w:tcMar>
            <w:vAlign w:val="center"/>
          </w:tcPr>
          <w:p>
            <w:pPr>
              <w:shd w:val="clear"/>
              <w:jc w:val="center"/>
              <w:rPr>
                <w:rFonts w:ascii="宋体" w:hAnsi="宋体" w:eastAsia="宋体" w:cs="宋体"/>
                <w:b/>
                <w:sz w:val="20"/>
                <w:szCs w:val="20"/>
                <w:highlight w:val="none"/>
                <w:shd w:val="clear" w:color="auto" w:fill="auto"/>
              </w:rPr>
            </w:pPr>
          </w:p>
        </w:tc>
        <w:tc>
          <w:tcPr>
            <w:tcW w:w="0" w:type="auto"/>
            <w:vMerge w:val="continue"/>
            <w:tcMar>
              <w:top w:w="12" w:type="dxa"/>
              <w:left w:w="12" w:type="dxa"/>
              <w:right w:w="12" w:type="dxa"/>
            </w:tcMar>
            <w:vAlign w:val="center"/>
          </w:tcPr>
          <w:p>
            <w:pPr>
              <w:shd w:val="clear"/>
              <w:jc w:val="center"/>
              <w:rPr>
                <w:rFonts w:ascii="宋体" w:hAnsi="宋体" w:eastAsia="宋体" w:cs="宋体"/>
                <w:b/>
                <w:sz w:val="20"/>
                <w:szCs w:val="20"/>
                <w:highlight w:val="none"/>
                <w:shd w:val="clear" w:color="auto" w:fill="auto"/>
              </w:rPr>
            </w:pPr>
          </w:p>
        </w:tc>
        <w:tc>
          <w:tcPr>
            <w:tcW w:w="0" w:type="auto"/>
            <w:vMerge w:val="continue"/>
            <w:tcMar>
              <w:top w:w="12" w:type="dxa"/>
              <w:left w:w="12" w:type="dxa"/>
              <w:right w:w="12" w:type="dxa"/>
            </w:tcMar>
            <w:vAlign w:val="center"/>
          </w:tcPr>
          <w:p>
            <w:pPr>
              <w:shd w:val="clear"/>
              <w:jc w:val="center"/>
              <w:rPr>
                <w:rFonts w:ascii="宋体" w:hAnsi="宋体" w:eastAsia="宋体" w:cs="宋体"/>
                <w:b/>
                <w:sz w:val="20"/>
                <w:szCs w:val="20"/>
                <w:highlight w:val="none"/>
                <w:shd w:val="clear" w:color="auto" w:fill="auto"/>
              </w:rPr>
            </w:pPr>
          </w:p>
        </w:tc>
        <w:tc>
          <w:tcPr>
            <w:tcW w:w="0" w:type="auto"/>
            <w:vMerge w:val="continue"/>
            <w:tcMar>
              <w:top w:w="12" w:type="dxa"/>
              <w:left w:w="12" w:type="dxa"/>
              <w:right w:w="12" w:type="dxa"/>
            </w:tcMar>
            <w:vAlign w:val="center"/>
          </w:tcPr>
          <w:p>
            <w:pPr>
              <w:shd w:val="clear"/>
              <w:jc w:val="center"/>
              <w:rPr>
                <w:rFonts w:ascii="宋体" w:hAnsi="宋体" w:eastAsia="宋体" w:cs="宋体"/>
                <w:b/>
                <w:sz w:val="20"/>
                <w:szCs w:val="20"/>
                <w:highlight w:val="none"/>
                <w:shd w:val="clear" w:color="auto" w:fill="auto"/>
              </w:rPr>
            </w:pPr>
          </w:p>
        </w:tc>
        <w:tc>
          <w:tcPr>
            <w:tcW w:w="0" w:type="auto"/>
            <w:tcMar>
              <w:top w:w="12" w:type="dxa"/>
              <w:left w:w="12" w:type="dxa"/>
              <w:right w:w="12" w:type="dxa"/>
            </w:tcMar>
            <w:vAlign w:val="center"/>
          </w:tcPr>
          <w:p>
            <w:pPr>
              <w:widowControl/>
              <w:shd w:val="clear"/>
              <w:jc w:val="center"/>
              <w:textAlignment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合计</w:t>
            </w:r>
          </w:p>
        </w:tc>
        <w:tc>
          <w:tcPr>
            <w:tcW w:w="0" w:type="auto"/>
            <w:tcMar>
              <w:top w:w="12" w:type="dxa"/>
              <w:left w:w="12" w:type="dxa"/>
              <w:right w:w="12" w:type="dxa"/>
            </w:tcMar>
            <w:vAlign w:val="center"/>
          </w:tcPr>
          <w:p>
            <w:pPr>
              <w:widowControl/>
              <w:shd w:val="clear"/>
              <w:jc w:val="center"/>
              <w:textAlignment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理论</w:t>
            </w:r>
          </w:p>
        </w:tc>
        <w:tc>
          <w:tcPr>
            <w:tcW w:w="0" w:type="auto"/>
            <w:tcMar>
              <w:top w:w="12" w:type="dxa"/>
              <w:left w:w="12" w:type="dxa"/>
              <w:right w:w="12" w:type="dxa"/>
            </w:tcMar>
            <w:vAlign w:val="center"/>
          </w:tcPr>
          <w:p>
            <w:pPr>
              <w:widowControl/>
              <w:shd w:val="clear"/>
              <w:jc w:val="center"/>
              <w:textAlignment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实践</w:t>
            </w:r>
          </w:p>
        </w:tc>
        <w:tc>
          <w:tcPr>
            <w:tcW w:w="0" w:type="auto"/>
            <w:tcMar>
              <w:top w:w="12" w:type="dxa"/>
              <w:left w:w="12" w:type="dxa"/>
              <w:right w:w="12" w:type="dxa"/>
            </w:tcMar>
            <w:vAlign w:val="center"/>
          </w:tcPr>
          <w:p>
            <w:pPr>
              <w:shd w:val="clear"/>
              <w:jc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理论</w:t>
            </w:r>
          </w:p>
        </w:tc>
        <w:tc>
          <w:tcPr>
            <w:tcW w:w="0" w:type="auto"/>
            <w:tcMar>
              <w:top w:w="12" w:type="dxa"/>
              <w:left w:w="12" w:type="dxa"/>
              <w:right w:w="12" w:type="dxa"/>
            </w:tcMar>
            <w:vAlign w:val="center"/>
          </w:tcPr>
          <w:p>
            <w:pPr>
              <w:shd w:val="clear"/>
              <w:jc w:val="center"/>
              <w:rPr>
                <w:rFonts w:ascii="宋体" w:hAnsi="宋体" w:eastAsia="宋体" w:cs="宋体"/>
                <w:b/>
                <w:sz w:val="20"/>
                <w:szCs w:val="20"/>
                <w:highlight w:val="none"/>
                <w:shd w:val="clear" w:color="auto" w:fill="auto"/>
              </w:rPr>
            </w:pPr>
            <w:r>
              <w:rPr>
                <w:rFonts w:hint="eastAsia" w:ascii="宋体" w:hAnsi="宋体" w:eastAsia="宋体" w:cs="宋体"/>
                <w:b/>
                <w:kern w:val="0"/>
                <w:sz w:val="20"/>
                <w:szCs w:val="20"/>
                <w:highlight w:val="none"/>
                <w:shd w:val="clear" w:color="auto" w:fill="auto"/>
                <w:lang w:bidi="ar"/>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32" w:type="dxa"/>
            <w:tcMar>
              <w:top w:w="12" w:type="dxa"/>
              <w:left w:w="12" w:type="dxa"/>
              <w:right w:w="12" w:type="dxa"/>
            </w:tcMar>
            <w:vAlign w:val="center"/>
          </w:tcPr>
          <w:p>
            <w:pPr>
              <w:widowControl/>
              <w:shd w:val="clear"/>
              <w:jc w:val="center"/>
              <w:textAlignment w:val="center"/>
              <w:rPr>
                <w:rFonts w:ascii="宋体" w:hAnsi="宋体" w:eastAsia="宋体" w:cs="宋体"/>
                <w:sz w:val="20"/>
                <w:szCs w:val="20"/>
                <w:highlight w:val="none"/>
                <w:shd w:val="clear" w:color="auto" w:fill="auto"/>
              </w:rPr>
            </w:pPr>
            <w:r>
              <w:rPr>
                <w:rFonts w:hint="eastAsia" w:ascii="宋体" w:hAnsi="宋体" w:eastAsia="宋体" w:cs="宋体"/>
                <w:color w:val="000000"/>
                <w:kern w:val="0"/>
                <w:sz w:val="20"/>
                <w:szCs w:val="20"/>
                <w:highlight w:val="none"/>
                <w:shd w:val="clear" w:color="auto" w:fill="auto"/>
                <w:lang w:bidi="ar"/>
              </w:rPr>
              <w:t>公共基础必修课</w:t>
            </w:r>
          </w:p>
        </w:tc>
        <w:tc>
          <w:tcPr>
            <w:tcW w:w="96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15</w:t>
            </w:r>
          </w:p>
        </w:tc>
        <w:tc>
          <w:tcPr>
            <w:tcW w:w="62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33</w:t>
            </w:r>
          </w:p>
        </w:tc>
        <w:tc>
          <w:tcPr>
            <w:tcW w:w="14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22.15%</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570</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272</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298</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10%</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32" w:type="dxa"/>
            <w:tcMar>
              <w:top w:w="12" w:type="dxa"/>
              <w:left w:w="12" w:type="dxa"/>
              <w:right w:w="12" w:type="dxa"/>
            </w:tcMar>
            <w:vAlign w:val="center"/>
          </w:tcPr>
          <w:p>
            <w:pPr>
              <w:widowControl/>
              <w:shd w:val="clear"/>
              <w:jc w:val="center"/>
              <w:textAlignment w:val="center"/>
              <w:rPr>
                <w:rFonts w:ascii="宋体" w:hAnsi="宋体" w:eastAsia="宋体" w:cs="宋体"/>
                <w:sz w:val="20"/>
                <w:szCs w:val="20"/>
                <w:highlight w:val="none"/>
                <w:shd w:val="clear" w:color="auto" w:fill="auto"/>
              </w:rPr>
            </w:pPr>
            <w:r>
              <w:rPr>
                <w:rFonts w:hint="eastAsia" w:ascii="宋体" w:hAnsi="宋体" w:eastAsia="宋体" w:cs="宋体"/>
                <w:color w:val="000000"/>
                <w:kern w:val="0"/>
                <w:sz w:val="20"/>
                <w:szCs w:val="20"/>
                <w:highlight w:val="none"/>
                <w:shd w:val="clear" w:color="auto" w:fill="auto"/>
                <w:lang w:bidi="ar"/>
              </w:rPr>
              <w:t>公共基础选修课</w:t>
            </w:r>
          </w:p>
        </w:tc>
        <w:tc>
          <w:tcPr>
            <w:tcW w:w="96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4</w:t>
            </w:r>
          </w:p>
        </w:tc>
        <w:tc>
          <w:tcPr>
            <w:tcW w:w="62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8</w:t>
            </w:r>
          </w:p>
        </w:tc>
        <w:tc>
          <w:tcPr>
            <w:tcW w:w="14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5.37%</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128</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112</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16</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4%</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32" w:type="dxa"/>
            <w:tcMar>
              <w:top w:w="12" w:type="dxa"/>
              <w:left w:w="12" w:type="dxa"/>
              <w:right w:w="12" w:type="dxa"/>
            </w:tcMar>
            <w:vAlign w:val="center"/>
          </w:tcPr>
          <w:p>
            <w:pPr>
              <w:widowControl/>
              <w:shd w:val="clear"/>
              <w:jc w:val="center"/>
              <w:textAlignment w:val="center"/>
              <w:rPr>
                <w:rFonts w:ascii="宋体" w:hAnsi="宋体" w:eastAsia="宋体" w:cs="宋体"/>
                <w:sz w:val="20"/>
                <w:szCs w:val="20"/>
                <w:highlight w:val="none"/>
                <w:shd w:val="clear" w:color="auto" w:fill="auto"/>
              </w:rPr>
            </w:pPr>
            <w:r>
              <w:rPr>
                <w:rFonts w:hint="eastAsia" w:ascii="宋体" w:hAnsi="宋体" w:eastAsia="宋体" w:cs="宋体"/>
                <w:color w:val="000000"/>
                <w:kern w:val="0"/>
                <w:sz w:val="20"/>
                <w:szCs w:val="20"/>
                <w:highlight w:val="none"/>
                <w:shd w:val="clear" w:color="auto" w:fill="auto"/>
                <w:lang w:bidi="ar"/>
              </w:rPr>
              <w:t>专业基础课</w:t>
            </w:r>
          </w:p>
        </w:tc>
        <w:tc>
          <w:tcPr>
            <w:tcW w:w="96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12</w:t>
            </w:r>
          </w:p>
        </w:tc>
        <w:tc>
          <w:tcPr>
            <w:tcW w:w="62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48</w:t>
            </w:r>
          </w:p>
        </w:tc>
        <w:tc>
          <w:tcPr>
            <w:tcW w:w="14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32.21%</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768</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452</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316</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17%</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32" w:type="dxa"/>
            <w:tcMar>
              <w:top w:w="12" w:type="dxa"/>
              <w:left w:w="12" w:type="dxa"/>
              <w:right w:w="12" w:type="dxa"/>
            </w:tcMar>
            <w:vAlign w:val="center"/>
          </w:tcPr>
          <w:p>
            <w:pPr>
              <w:widowControl/>
              <w:shd w:val="clear"/>
              <w:jc w:val="center"/>
              <w:textAlignment w:val="center"/>
              <w:rPr>
                <w:rFonts w:ascii="宋体" w:hAnsi="宋体" w:eastAsia="宋体" w:cs="宋体"/>
                <w:sz w:val="20"/>
                <w:szCs w:val="20"/>
                <w:highlight w:val="none"/>
                <w:shd w:val="clear" w:color="auto" w:fill="auto"/>
              </w:rPr>
            </w:pPr>
            <w:r>
              <w:rPr>
                <w:rFonts w:hint="eastAsia" w:ascii="宋体" w:hAnsi="宋体" w:eastAsia="宋体" w:cs="宋体"/>
                <w:color w:val="000000"/>
                <w:kern w:val="0"/>
                <w:sz w:val="20"/>
                <w:szCs w:val="20"/>
                <w:highlight w:val="none"/>
                <w:shd w:val="clear" w:color="auto" w:fill="auto"/>
                <w:lang w:bidi="ar"/>
              </w:rPr>
              <w:t>专业核心课</w:t>
            </w:r>
          </w:p>
        </w:tc>
        <w:tc>
          <w:tcPr>
            <w:tcW w:w="96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6</w:t>
            </w:r>
          </w:p>
        </w:tc>
        <w:tc>
          <w:tcPr>
            <w:tcW w:w="62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24</w:t>
            </w:r>
          </w:p>
        </w:tc>
        <w:tc>
          <w:tcPr>
            <w:tcW w:w="14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rPr>
            </w:pPr>
            <w:r>
              <w:rPr>
                <w:rFonts w:hint="eastAsia" w:ascii="宋体" w:hAnsi="宋体" w:eastAsia="宋体" w:cs="宋体"/>
                <w:i w:val="0"/>
                <w:iCs w:val="0"/>
                <w:color w:val="000000"/>
                <w:kern w:val="0"/>
                <w:sz w:val="16"/>
                <w:szCs w:val="16"/>
                <w:u w:val="none"/>
                <w:lang w:val="en-US" w:eastAsia="zh-CN" w:bidi="ar"/>
              </w:rPr>
              <w:t>16.11%</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384</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180</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204</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7%</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32" w:type="dxa"/>
            <w:tcMar>
              <w:top w:w="12" w:type="dxa"/>
              <w:left w:w="12" w:type="dxa"/>
              <w:right w:w="12" w:type="dxa"/>
            </w:tcMar>
            <w:vAlign w:val="center"/>
          </w:tcPr>
          <w:p>
            <w:pPr>
              <w:widowControl/>
              <w:shd w:val="clear"/>
              <w:jc w:val="center"/>
              <w:textAlignment w:val="center"/>
              <w:rPr>
                <w:rFonts w:ascii="宋体" w:hAnsi="宋体" w:eastAsia="宋体" w:cs="宋体"/>
                <w:sz w:val="20"/>
                <w:szCs w:val="20"/>
                <w:highlight w:val="none"/>
                <w:shd w:val="clear" w:color="auto" w:fill="auto"/>
              </w:rPr>
            </w:pPr>
            <w:r>
              <w:rPr>
                <w:rFonts w:hint="eastAsia" w:ascii="宋体" w:hAnsi="宋体" w:eastAsia="宋体" w:cs="宋体"/>
                <w:color w:val="000000"/>
                <w:kern w:val="0"/>
                <w:sz w:val="20"/>
                <w:szCs w:val="20"/>
                <w:highlight w:val="none"/>
                <w:shd w:val="clear" w:color="auto" w:fill="auto"/>
                <w:lang w:bidi="ar"/>
              </w:rPr>
              <w:t>专业拓展课</w:t>
            </w:r>
          </w:p>
        </w:tc>
        <w:tc>
          <w:tcPr>
            <w:tcW w:w="96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4</w:t>
            </w:r>
          </w:p>
        </w:tc>
        <w:tc>
          <w:tcPr>
            <w:tcW w:w="62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8</w:t>
            </w:r>
          </w:p>
        </w:tc>
        <w:tc>
          <w:tcPr>
            <w:tcW w:w="14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rPr>
            </w:pPr>
            <w:r>
              <w:rPr>
                <w:rFonts w:hint="eastAsia" w:ascii="宋体" w:hAnsi="宋体" w:eastAsia="宋体" w:cs="宋体"/>
                <w:i w:val="0"/>
                <w:iCs w:val="0"/>
                <w:color w:val="000000"/>
                <w:kern w:val="0"/>
                <w:sz w:val="16"/>
                <w:szCs w:val="16"/>
                <w:u w:val="none"/>
                <w:lang w:val="en-US" w:eastAsia="zh-CN" w:bidi="ar"/>
              </w:rPr>
              <w:t>5.37%</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128</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112</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16</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4%</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32" w:type="dxa"/>
            <w:tcMar>
              <w:top w:w="12" w:type="dxa"/>
              <w:left w:w="12" w:type="dxa"/>
              <w:right w:w="12" w:type="dxa"/>
            </w:tcMar>
            <w:vAlign w:val="center"/>
          </w:tcPr>
          <w:p>
            <w:pPr>
              <w:widowControl/>
              <w:shd w:val="clear"/>
              <w:jc w:val="center"/>
              <w:textAlignment w:val="center"/>
              <w:rPr>
                <w:rFonts w:ascii="宋体" w:hAnsi="宋体" w:eastAsia="宋体" w:cs="宋体"/>
                <w:sz w:val="20"/>
                <w:szCs w:val="20"/>
                <w:highlight w:val="none"/>
                <w:shd w:val="clear" w:color="auto" w:fill="auto"/>
              </w:rPr>
            </w:pPr>
            <w:r>
              <w:rPr>
                <w:rFonts w:hint="eastAsia" w:ascii="宋体" w:hAnsi="宋体" w:eastAsia="宋体" w:cs="宋体"/>
                <w:color w:val="000000"/>
                <w:kern w:val="0"/>
                <w:sz w:val="20"/>
                <w:szCs w:val="20"/>
                <w:highlight w:val="none"/>
                <w:shd w:val="clear" w:color="auto" w:fill="auto"/>
                <w:lang w:bidi="ar"/>
              </w:rPr>
              <w:t>岗位实习</w:t>
            </w:r>
          </w:p>
        </w:tc>
        <w:tc>
          <w:tcPr>
            <w:tcW w:w="96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w:t>
            </w:r>
          </w:p>
        </w:tc>
        <w:tc>
          <w:tcPr>
            <w:tcW w:w="62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28</w:t>
            </w:r>
          </w:p>
        </w:tc>
        <w:tc>
          <w:tcPr>
            <w:tcW w:w="14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18.79%</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672</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96</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576</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4%</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32" w:type="dxa"/>
            <w:tcMar>
              <w:top w:w="12" w:type="dxa"/>
              <w:left w:w="12" w:type="dxa"/>
              <w:right w:w="12" w:type="dxa"/>
            </w:tcMar>
            <w:vAlign w:val="center"/>
          </w:tcPr>
          <w:p>
            <w:pPr>
              <w:widowControl/>
              <w:shd w:val="clear"/>
              <w:jc w:val="center"/>
              <w:textAlignment w:val="center"/>
              <w:rPr>
                <w:rFonts w:ascii="宋体" w:hAnsi="宋体" w:eastAsia="宋体" w:cs="宋体"/>
                <w:sz w:val="20"/>
                <w:szCs w:val="20"/>
                <w:highlight w:val="none"/>
                <w:shd w:val="clear" w:color="auto" w:fill="auto"/>
              </w:rPr>
            </w:pPr>
            <w:r>
              <w:rPr>
                <w:rFonts w:hint="eastAsia" w:ascii="宋体" w:hAnsi="宋体" w:eastAsia="宋体" w:cs="宋体"/>
                <w:color w:val="000000"/>
                <w:kern w:val="0"/>
                <w:sz w:val="20"/>
                <w:szCs w:val="20"/>
                <w:highlight w:val="none"/>
                <w:shd w:val="clear" w:color="auto" w:fill="auto"/>
                <w:lang w:bidi="ar"/>
              </w:rPr>
              <w:t>总学时（学分）数</w:t>
            </w:r>
          </w:p>
        </w:tc>
        <w:tc>
          <w:tcPr>
            <w:tcW w:w="96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42</w:t>
            </w:r>
          </w:p>
        </w:tc>
        <w:tc>
          <w:tcPr>
            <w:tcW w:w="62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149</w:t>
            </w:r>
          </w:p>
        </w:tc>
        <w:tc>
          <w:tcPr>
            <w:tcW w:w="14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rPr>
            </w:pPr>
            <w:r>
              <w:rPr>
                <w:rFonts w:hint="eastAsia" w:ascii="宋体" w:hAnsi="宋体" w:eastAsia="宋体" w:cs="宋体"/>
                <w:i w:val="0"/>
                <w:iCs w:val="0"/>
                <w:color w:val="000000"/>
                <w:kern w:val="0"/>
                <w:sz w:val="16"/>
                <w:szCs w:val="16"/>
                <w:u w:val="none"/>
                <w:lang w:val="en-US" w:eastAsia="zh-CN" w:bidi="ar"/>
              </w:rPr>
              <w:t>100.00%</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2650</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1224</w:t>
            </w:r>
          </w:p>
        </w:tc>
        <w:tc>
          <w:tcPr>
            <w:tcW w:w="512"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1426</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46%</w:t>
            </w:r>
          </w:p>
        </w:tc>
        <w:tc>
          <w:tcPr>
            <w:tcW w:w="733" w:type="dxa"/>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kern w:val="0"/>
                <w:sz w:val="20"/>
                <w:szCs w:val="20"/>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54%</w:t>
            </w:r>
          </w:p>
        </w:tc>
      </w:tr>
      <w:bookmarkEnd w:id="0"/>
    </w:tbl>
    <w:p>
      <w:pPr>
        <w:shd w:val="clear"/>
        <w:spacing w:line="360" w:lineRule="auto"/>
        <w:ind w:firstLine="528" w:firstLineChars="200"/>
        <w:rPr>
          <w:rFonts w:ascii="楷体" w:hAnsi="楷体" w:eastAsia="楷体" w:cs="宋体"/>
          <w:color w:val="000000"/>
          <w:spacing w:val="-8"/>
          <w:sz w:val="28"/>
          <w:szCs w:val="28"/>
          <w:highlight w:val="none"/>
          <w:shd w:val="clear" w:color="auto" w:fill="auto"/>
        </w:rPr>
      </w:pPr>
      <w:r>
        <w:rPr>
          <w:rFonts w:hint="eastAsia" w:ascii="楷体" w:hAnsi="楷体" w:eastAsia="楷体" w:cs="宋体"/>
          <w:color w:val="000000"/>
          <w:spacing w:val="-8"/>
          <w:sz w:val="28"/>
          <w:szCs w:val="28"/>
          <w:highlight w:val="none"/>
          <w:shd w:val="clear" w:color="auto" w:fill="auto"/>
        </w:rPr>
        <w:t>3.教学进程总体安排</w:t>
      </w:r>
    </w:p>
    <w:p>
      <w:pPr>
        <w:widowControl/>
        <w:shd w:val="clear"/>
        <w:ind w:firstLine="560" w:firstLineChars="200"/>
        <w:jc w:val="left"/>
        <w:rPr>
          <w:rFonts w:hint="eastAsia"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教学进程表见附件。</w:t>
      </w:r>
    </w:p>
    <w:p>
      <w:pPr>
        <w:pStyle w:val="4"/>
        <w:widowControl/>
        <w:shd w:val="clear" w:color="auto"/>
        <w:adjustRightInd w:val="0"/>
        <w:snapToGrid w:val="0"/>
        <w:spacing w:beforeAutospacing="0" w:afterAutospacing="0" w:line="360" w:lineRule="auto"/>
        <w:ind w:firstLine="560" w:firstLineChars="200"/>
        <w:rPr>
          <w:rStyle w:val="8"/>
          <w:rFonts w:ascii="黑体" w:hAnsi="黑体" w:eastAsia="黑体" w:cs="黑体"/>
          <w:b w:val="0"/>
          <w:bCs/>
          <w:color w:val="191919"/>
          <w:sz w:val="28"/>
          <w:szCs w:val="28"/>
          <w:highlight w:val="none"/>
          <w:shd w:val="clear" w:color="auto" w:fill="auto"/>
        </w:rPr>
      </w:pPr>
      <w:r>
        <w:rPr>
          <w:rStyle w:val="8"/>
          <w:rFonts w:hint="eastAsia" w:ascii="黑体" w:hAnsi="黑体" w:eastAsia="黑体" w:cs="黑体"/>
          <w:b w:val="0"/>
          <w:bCs/>
          <w:color w:val="191919"/>
          <w:sz w:val="28"/>
          <w:szCs w:val="28"/>
          <w:highlight w:val="none"/>
          <w:shd w:val="clear" w:color="auto" w:fill="auto"/>
        </w:rPr>
        <w:t>八、师资队伍</w:t>
      </w:r>
    </w:p>
    <w:p>
      <w:pPr>
        <w:widowControl/>
        <w:shd w:val="clear"/>
        <w:spacing w:line="360" w:lineRule="auto"/>
        <w:ind w:firstLine="560" w:firstLineChars="200"/>
        <w:jc w:val="left"/>
        <w:rPr>
          <w:rFonts w:ascii="仿宋" w:hAnsi="仿宋" w:eastAsia="仿宋" w:cs="仿宋"/>
          <w:sz w:val="28"/>
          <w:szCs w:val="28"/>
          <w:highlight w:val="none"/>
          <w:shd w:val="clear" w:color="auto" w:fill="auto"/>
        </w:rPr>
      </w:pPr>
      <w:r>
        <w:rPr>
          <w:rFonts w:hint="eastAsia" w:ascii="仿宋" w:hAnsi="仿宋" w:eastAsia="仿宋" w:cs="仿宋"/>
          <w:color w:val="000000"/>
          <w:kern w:val="0"/>
          <w:sz w:val="28"/>
          <w:szCs w:val="28"/>
          <w:highlight w:val="none"/>
          <w:shd w:val="clear" w:color="auto" w:fill="auto"/>
          <w:lang w:bidi="ar"/>
        </w:rPr>
        <w:t>按照“四有好老师”“四个相统一”“四个引路人”的要求建设专业教师队伍，将师德师风作为教师队伍建设的第一标准。</w:t>
      </w:r>
    </w:p>
    <w:p>
      <w:pPr>
        <w:pStyle w:val="4"/>
        <w:widowControl/>
        <w:numPr>
          <w:ilvl w:val="0"/>
          <w:numId w:val="4"/>
        </w:numPr>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队伍结构</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 xml:space="preserve">学生数与本专业专任教师数比例不高于 </w:t>
      </w:r>
      <w:r>
        <w:rPr>
          <w:rFonts w:ascii="仿宋" w:hAnsi="仿宋" w:eastAsia="仿宋" w:cs="仿宋"/>
          <w:color w:val="000000"/>
          <w:kern w:val="0"/>
          <w:sz w:val="28"/>
          <w:szCs w:val="28"/>
          <w:highlight w:val="none"/>
          <w:shd w:val="clear" w:color="auto" w:fill="auto"/>
          <w:lang w:bidi="ar"/>
        </w:rPr>
        <w:t>25:1</w:t>
      </w:r>
      <w:r>
        <w:rPr>
          <w:rFonts w:hint="eastAsia" w:ascii="仿宋" w:hAnsi="仿宋" w:eastAsia="仿宋" w:cs="仿宋"/>
          <w:color w:val="000000"/>
          <w:kern w:val="0"/>
          <w:sz w:val="28"/>
          <w:szCs w:val="28"/>
          <w:highlight w:val="none"/>
          <w:shd w:val="clear" w:color="auto" w:fill="auto"/>
          <w:lang w:bidi="ar"/>
        </w:rPr>
        <w:t>，“双师型”教师占专业课教师数比例一般不低于</w:t>
      </w:r>
      <w:r>
        <w:rPr>
          <w:rFonts w:ascii="仿宋" w:hAnsi="仿宋" w:eastAsia="仿宋" w:cs="仿宋"/>
          <w:color w:val="000000"/>
          <w:kern w:val="0"/>
          <w:sz w:val="28"/>
          <w:szCs w:val="28"/>
          <w:highlight w:val="none"/>
          <w:shd w:val="clear" w:color="auto" w:fill="auto"/>
          <w:lang w:bidi="ar"/>
        </w:rPr>
        <w:t>60%</w:t>
      </w:r>
      <w:r>
        <w:rPr>
          <w:rFonts w:hint="eastAsia" w:ascii="仿宋" w:hAnsi="仿宋" w:eastAsia="仿宋" w:cs="仿宋"/>
          <w:color w:val="000000"/>
          <w:kern w:val="0"/>
          <w:sz w:val="28"/>
          <w:szCs w:val="28"/>
          <w:highlight w:val="none"/>
          <w:shd w:val="clear" w:color="auto" w:fill="auto"/>
          <w:lang w:bidi="ar"/>
        </w:rPr>
        <w:t xml:space="preserve">，高级职称专任教师的比例不低于 </w:t>
      </w:r>
      <w:r>
        <w:rPr>
          <w:rFonts w:ascii="仿宋" w:hAnsi="仿宋" w:eastAsia="仿宋" w:cs="仿宋"/>
          <w:color w:val="000000"/>
          <w:kern w:val="0"/>
          <w:sz w:val="28"/>
          <w:szCs w:val="28"/>
          <w:highlight w:val="none"/>
          <w:shd w:val="clear" w:color="auto" w:fill="auto"/>
          <w:lang w:bidi="ar"/>
        </w:rPr>
        <w:t>20%</w:t>
      </w:r>
      <w:r>
        <w:rPr>
          <w:rFonts w:hint="eastAsia" w:ascii="仿宋" w:hAnsi="仿宋" w:eastAsia="仿宋" w:cs="仿宋"/>
          <w:color w:val="000000"/>
          <w:kern w:val="0"/>
          <w:sz w:val="28"/>
          <w:szCs w:val="28"/>
          <w:highlight w:val="none"/>
          <w:shd w:val="clear" w:color="auto" w:fill="auto"/>
          <w:lang w:bidi="ar"/>
        </w:rPr>
        <w:t xml:space="preserve">，专任教师队伍要考虑职称、年龄、工作经验，形成合理的梯队结构。 </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能够整合校内外优质人才资源，选聘企业高级技术人员担任行业导师，组建校企合作、专兼结合的教师团队，建立定期开展专业（学科）教研机制。</w:t>
      </w:r>
    </w:p>
    <w:p>
      <w:pPr>
        <w:widowControl/>
        <w:numPr>
          <w:ilvl w:val="0"/>
          <w:numId w:val="4"/>
        </w:numPr>
        <w:shd w:val="clear"/>
        <w:ind w:firstLine="560" w:firstLineChars="200"/>
        <w:jc w:val="left"/>
        <w:rPr>
          <w:rStyle w:val="8"/>
          <w:rFonts w:ascii="Times New Roman" w:hAnsi="Times New Roman" w:eastAsia="楷体" w:cs="Times New Roman"/>
          <w:b w:val="0"/>
          <w:bCs/>
          <w:color w:val="191919"/>
          <w:sz w:val="28"/>
          <w:szCs w:val="28"/>
          <w:highlight w:val="none"/>
          <w:shd w:val="clear" w:color="auto" w:fill="auto"/>
        </w:rPr>
      </w:pPr>
      <w:r>
        <w:rPr>
          <w:rStyle w:val="8"/>
          <w:rFonts w:hint="eastAsia" w:ascii="Times New Roman" w:hAnsi="Times New Roman" w:eastAsia="楷体" w:cs="Times New Roman"/>
          <w:b w:val="0"/>
          <w:bCs/>
          <w:color w:val="191919"/>
          <w:sz w:val="28"/>
          <w:szCs w:val="28"/>
          <w:highlight w:val="none"/>
          <w:shd w:val="clear" w:color="auto" w:fill="auto"/>
        </w:rPr>
        <w:t>专业带头人</w:t>
      </w:r>
    </w:p>
    <w:p>
      <w:pPr>
        <w:widowControl/>
        <w:shd w:val="clear"/>
        <w:spacing w:line="360" w:lineRule="auto"/>
        <w:ind w:firstLine="560" w:firstLineChars="200"/>
        <w:jc w:val="left"/>
        <w:rPr>
          <w:rFonts w:hint="eastAsia"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val="en-US" w:eastAsia="zh-CN" w:bidi="ar"/>
        </w:rPr>
        <w:t>原则上应具有本专业及相关专业副高及以上职称和较强的实践能力，能够较好地把握国内外互联网和相关服务、批发业、零售业行业、专业发展，能广泛联系行业企业，了解行业企业对本专业人才的需求实际，主持专业建设、开展教育教学改革、教科研工作和社会服务能力强，在本专业改革发展中起引领作用。</w:t>
      </w:r>
    </w:p>
    <w:p>
      <w:pPr>
        <w:pStyle w:val="4"/>
        <w:widowControl/>
        <w:numPr>
          <w:ilvl w:val="0"/>
          <w:numId w:val="4"/>
        </w:numPr>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专任教师</w:t>
      </w:r>
    </w:p>
    <w:p>
      <w:pPr>
        <w:widowControl/>
        <w:shd w:val="clear"/>
        <w:spacing w:line="360" w:lineRule="auto"/>
        <w:ind w:firstLine="560" w:firstLineChars="200"/>
        <w:jc w:val="left"/>
        <w:rPr>
          <w:rFonts w:hint="eastAsia" w:ascii="仿宋" w:hAnsi="仿宋" w:eastAsia="仿宋" w:cs="仿宋"/>
          <w:color w:val="000000"/>
          <w:kern w:val="0"/>
          <w:sz w:val="28"/>
          <w:szCs w:val="28"/>
          <w:highlight w:val="none"/>
          <w:shd w:val="clear" w:color="auto" w:fill="auto"/>
          <w:lang w:val="en-US" w:eastAsia="zh-CN" w:bidi="ar"/>
        </w:rPr>
      </w:pPr>
      <w:r>
        <w:rPr>
          <w:rFonts w:hint="eastAsia" w:ascii="仿宋" w:hAnsi="仿宋" w:eastAsia="仿宋" w:cs="仿宋"/>
          <w:color w:val="000000"/>
          <w:kern w:val="0"/>
          <w:sz w:val="28"/>
          <w:szCs w:val="28"/>
          <w:highlight w:val="none"/>
          <w:shd w:val="clear" w:color="auto" w:fill="auto"/>
          <w:lang w:val="en-US" w:eastAsia="zh-CN" w:bidi="ar"/>
        </w:rPr>
        <w:t>具有高校教师资格；原则上具有电子商务、管理科学与工程、工商管理、计算机科学与技术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w:t>
      </w:r>
      <w:r>
        <w:rPr>
          <w:rFonts w:hint="default" w:ascii="仿宋" w:hAnsi="仿宋" w:eastAsia="仿宋" w:cs="仿宋"/>
          <w:color w:val="000000"/>
          <w:kern w:val="0"/>
          <w:sz w:val="28"/>
          <w:szCs w:val="28"/>
          <w:highlight w:val="none"/>
          <w:shd w:val="clear" w:color="auto" w:fill="auto"/>
          <w:lang w:val="en-US" w:eastAsia="zh-CN" w:bidi="ar"/>
        </w:rPr>
        <w:t xml:space="preserve">1 </w:t>
      </w:r>
      <w:r>
        <w:rPr>
          <w:rFonts w:hint="eastAsia" w:ascii="仿宋" w:hAnsi="仿宋" w:eastAsia="仿宋" w:cs="仿宋"/>
          <w:color w:val="000000"/>
          <w:kern w:val="0"/>
          <w:sz w:val="28"/>
          <w:szCs w:val="28"/>
          <w:highlight w:val="none"/>
          <w:shd w:val="clear" w:color="auto" w:fill="auto"/>
          <w:lang w:val="en-US" w:eastAsia="zh-CN" w:bidi="ar"/>
        </w:rPr>
        <w:t xml:space="preserve">个月在企业或生产性实训基地锻炼，每 </w:t>
      </w:r>
      <w:r>
        <w:rPr>
          <w:rFonts w:hint="default" w:ascii="仿宋" w:hAnsi="仿宋" w:eastAsia="仿宋" w:cs="仿宋"/>
          <w:color w:val="000000"/>
          <w:kern w:val="0"/>
          <w:sz w:val="28"/>
          <w:szCs w:val="28"/>
          <w:highlight w:val="none"/>
          <w:shd w:val="clear" w:color="auto" w:fill="auto"/>
          <w:lang w:val="en-US" w:eastAsia="zh-CN" w:bidi="ar"/>
        </w:rPr>
        <w:t xml:space="preserve">5 </w:t>
      </w:r>
      <w:r>
        <w:rPr>
          <w:rFonts w:hint="eastAsia" w:ascii="仿宋" w:hAnsi="仿宋" w:eastAsia="仿宋" w:cs="仿宋"/>
          <w:color w:val="000000"/>
          <w:kern w:val="0"/>
          <w:sz w:val="28"/>
          <w:szCs w:val="28"/>
          <w:highlight w:val="none"/>
          <w:shd w:val="clear" w:color="auto" w:fill="auto"/>
          <w:lang w:val="en-US" w:eastAsia="zh-CN" w:bidi="ar"/>
        </w:rPr>
        <w:t xml:space="preserve">年累计不少于 </w:t>
      </w:r>
      <w:r>
        <w:rPr>
          <w:rFonts w:hint="default" w:ascii="仿宋" w:hAnsi="仿宋" w:eastAsia="仿宋" w:cs="仿宋"/>
          <w:color w:val="000000"/>
          <w:kern w:val="0"/>
          <w:sz w:val="28"/>
          <w:szCs w:val="28"/>
          <w:highlight w:val="none"/>
          <w:shd w:val="clear" w:color="auto" w:fill="auto"/>
          <w:lang w:val="en-US" w:eastAsia="zh-CN" w:bidi="ar"/>
        </w:rPr>
        <w:t xml:space="preserve">6 </w:t>
      </w:r>
      <w:r>
        <w:rPr>
          <w:rFonts w:hint="eastAsia" w:ascii="仿宋" w:hAnsi="仿宋" w:eastAsia="仿宋" w:cs="仿宋"/>
          <w:color w:val="000000"/>
          <w:kern w:val="0"/>
          <w:sz w:val="28"/>
          <w:szCs w:val="28"/>
          <w:highlight w:val="none"/>
          <w:shd w:val="clear" w:color="auto" w:fill="auto"/>
          <w:lang w:val="en-US" w:eastAsia="zh-CN" w:bidi="ar"/>
        </w:rPr>
        <w:t>个月的企业实践经历。</w:t>
      </w:r>
    </w:p>
    <w:p>
      <w:pPr>
        <w:pStyle w:val="4"/>
        <w:widowControl/>
        <w:numPr>
          <w:ilvl w:val="0"/>
          <w:numId w:val="4"/>
        </w:numPr>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兼职教师</w:t>
      </w:r>
    </w:p>
    <w:p>
      <w:pPr>
        <w:widowControl/>
        <w:shd w:val="clear"/>
        <w:spacing w:line="360" w:lineRule="auto"/>
        <w:ind w:firstLine="560" w:firstLineChars="200"/>
        <w:jc w:val="left"/>
        <w:rPr>
          <w:rFonts w:hint="eastAsia" w:ascii="仿宋" w:hAnsi="仿宋" w:eastAsia="仿宋" w:cs="仿宋"/>
          <w:color w:val="000000"/>
          <w:kern w:val="0"/>
          <w:sz w:val="28"/>
          <w:szCs w:val="28"/>
          <w:highlight w:val="none"/>
          <w:shd w:val="clear" w:color="auto" w:fill="auto"/>
          <w:lang w:val="en-US" w:eastAsia="zh-CN" w:bidi="ar"/>
        </w:rPr>
      </w:pPr>
      <w:r>
        <w:rPr>
          <w:rFonts w:hint="eastAsia" w:ascii="仿宋" w:hAnsi="仿宋" w:eastAsia="仿宋" w:cs="仿宋"/>
          <w:color w:val="000000"/>
          <w:kern w:val="0"/>
          <w:sz w:val="28"/>
          <w:szCs w:val="28"/>
          <w:highlight w:val="none"/>
          <w:shd w:val="clear" w:color="auto" w:fill="auto"/>
          <w:lang w:val="en-US" w:eastAsia="zh-CN" w:bidi="ar"/>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pPr>
        <w:pStyle w:val="4"/>
        <w:widowControl/>
        <w:numPr>
          <w:ilvl w:val="0"/>
          <w:numId w:val="5"/>
        </w:numPr>
        <w:shd w:val="clear" w:color="auto"/>
        <w:adjustRightInd w:val="0"/>
        <w:snapToGrid w:val="0"/>
        <w:spacing w:beforeAutospacing="0" w:afterAutospacing="0" w:line="360" w:lineRule="auto"/>
        <w:ind w:firstLine="560" w:firstLineChars="200"/>
        <w:rPr>
          <w:rStyle w:val="8"/>
          <w:rFonts w:ascii="黑体" w:hAnsi="黑体" w:eastAsia="黑体" w:cs="黑体"/>
          <w:b w:val="0"/>
          <w:bCs/>
          <w:color w:val="191919"/>
          <w:sz w:val="28"/>
          <w:szCs w:val="28"/>
          <w:highlight w:val="none"/>
          <w:shd w:val="clear" w:color="auto" w:fill="auto"/>
        </w:rPr>
      </w:pPr>
      <w:r>
        <w:rPr>
          <w:rStyle w:val="8"/>
          <w:rFonts w:hint="eastAsia" w:ascii="黑体" w:hAnsi="黑体" w:eastAsia="黑体" w:cs="黑体"/>
          <w:b w:val="0"/>
          <w:bCs/>
          <w:color w:val="191919"/>
          <w:sz w:val="28"/>
          <w:szCs w:val="28"/>
          <w:highlight w:val="none"/>
          <w:shd w:val="clear" w:color="auto" w:fill="auto"/>
        </w:rPr>
        <w:t>教学条件</w:t>
      </w:r>
    </w:p>
    <w:p>
      <w:pPr>
        <w:pStyle w:val="4"/>
        <w:widowControl/>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（一）教学设施</w:t>
      </w:r>
    </w:p>
    <w:p>
      <w:pPr>
        <w:pStyle w:val="4"/>
        <w:widowControl/>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1.专业教室基本要求</w:t>
      </w:r>
    </w:p>
    <w:p>
      <w:pPr>
        <w:widowControl/>
        <w:shd w:val="clear"/>
        <w:spacing w:line="360" w:lineRule="auto"/>
        <w:ind w:firstLine="560" w:firstLineChars="200"/>
        <w:jc w:val="left"/>
        <w:rPr>
          <w:rStyle w:val="8"/>
          <w:rFonts w:ascii="Times New Roman" w:hAnsi="Times New Roman" w:eastAsia="楷体" w:cs="Times New Roman"/>
          <w:b w:val="0"/>
          <w:bCs/>
          <w:color w:val="191919"/>
          <w:sz w:val="28"/>
          <w:szCs w:val="28"/>
          <w:highlight w:val="none"/>
          <w:shd w:val="clear" w:color="auto" w:fill="auto"/>
        </w:rPr>
      </w:pPr>
      <w:r>
        <w:rPr>
          <w:rFonts w:hint="eastAsia" w:ascii="仿宋" w:hAnsi="仿宋" w:eastAsia="仿宋" w:cs="仿宋"/>
          <w:color w:val="000000"/>
          <w:kern w:val="0"/>
          <w:sz w:val="28"/>
          <w:szCs w:val="28"/>
          <w:highlight w:val="none"/>
          <w:shd w:val="clear" w:color="auto" w:fill="auto"/>
          <w:lang w:bidi="ar"/>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pPr>
        <w:pStyle w:val="4"/>
        <w:widowControl/>
        <w:numPr>
          <w:ilvl w:val="0"/>
          <w:numId w:val="6"/>
        </w:numPr>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校内外实验、实训场所基本要求</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 xml:space="preserve">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实验、实训活动。 </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 xml:space="preserve">（1）信息技术实训室 </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 xml:space="preserve">配备服务器、投影设备、白板、计算机（1 台/人），Wi-Fi 覆盖，具备开发环境和开发工具、网页设计工具、数据处理工具和音视频处理软件等设备设施，用于信息技术、Python语言基础与应用等实训教学。 </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（2）</w:t>
      </w:r>
      <w:r>
        <w:rPr>
          <w:rFonts w:hint="eastAsia" w:ascii="仿宋" w:hAnsi="仿宋" w:eastAsia="仿宋" w:cs="仿宋"/>
          <w:color w:val="000000"/>
          <w:kern w:val="0"/>
          <w:sz w:val="28"/>
          <w:szCs w:val="28"/>
          <w:highlight w:val="none"/>
          <w:shd w:val="clear" w:color="auto" w:fill="auto"/>
          <w:lang w:val="en-US" w:eastAsia="zh-CN" w:bidi="ar"/>
        </w:rPr>
        <w:t>电子商务</w:t>
      </w:r>
      <w:r>
        <w:rPr>
          <w:rFonts w:hint="eastAsia" w:ascii="仿宋" w:hAnsi="仿宋" w:eastAsia="仿宋" w:cs="仿宋"/>
          <w:color w:val="000000"/>
          <w:kern w:val="0"/>
          <w:sz w:val="28"/>
          <w:szCs w:val="28"/>
          <w:highlight w:val="none"/>
          <w:shd w:val="clear" w:color="auto" w:fill="auto"/>
          <w:lang w:bidi="ar"/>
        </w:rPr>
        <w:t xml:space="preserve">实训室 </w:t>
      </w:r>
    </w:p>
    <w:p>
      <w:pPr>
        <w:widowControl/>
        <w:shd w:val="clear"/>
        <w:spacing w:line="360" w:lineRule="auto"/>
        <w:ind w:firstLine="560" w:firstLineChars="200"/>
        <w:jc w:val="left"/>
        <w:rPr>
          <w:rFonts w:hint="eastAsia"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val="en-US" w:eastAsia="zh-CN" w:bidi="ar"/>
        </w:rPr>
        <w:t xml:space="preserve">配备计算机、服务器、交换机、路由器、智慧班牌、网络机柜、多媒体中控台、交互式电子白板、网店运营与推广实训软件、市场营销实训软件，用于零售门店 </w:t>
      </w:r>
      <w:r>
        <w:rPr>
          <w:rFonts w:hint="default" w:ascii="仿宋" w:hAnsi="仿宋" w:eastAsia="仿宋" w:cs="仿宋"/>
          <w:color w:val="000000"/>
          <w:kern w:val="0"/>
          <w:sz w:val="28"/>
          <w:szCs w:val="28"/>
          <w:highlight w:val="none"/>
          <w:shd w:val="clear" w:color="auto" w:fill="auto"/>
          <w:lang w:val="en-US" w:eastAsia="zh-CN" w:bidi="ar"/>
        </w:rPr>
        <w:t xml:space="preserve">O2O </w:t>
      </w:r>
      <w:r>
        <w:rPr>
          <w:rFonts w:hint="eastAsia" w:ascii="仿宋" w:hAnsi="仿宋" w:eastAsia="仿宋" w:cs="仿宋"/>
          <w:color w:val="000000"/>
          <w:kern w:val="0"/>
          <w:sz w:val="28"/>
          <w:szCs w:val="28"/>
          <w:highlight w:val="none"/>
          <w:shd w:val="clear" w:color="auto" w:fill="auto"/>
          <w:lang w:val="en-US" w:eastAsia="zh-CN" w:bidi="ar"/>
        </w:rPr>
        <w:t>运营、网店运营、项目管理等实训教学。</w:t>
      </w:r>
    </w:p>
    <w:p>
      <w:pPr>
        <w:widowControl/>
        <w:numPr>
          <w:ilvl w:val="0"/>
          <w:numId w:val="0"/>
        </w:numPr>
        <w:shd w:val="clear"/>
        <w:spacing w:line="360" w:lineRule="auto"/>
        <w:ind w:leftChars="200"/>
        <w:jc w:val="left"/>
        <w:rPr>
          <w:rFonts w:hint="default" w:ascii="仿宋" w:hAnsi="仿宋" w:eastAsia="仿宋" w:cs="仿宋"/>
          <w:color w:val="000000"/>
          <w:kern w:val="0"/>
          <w:sz w:val="28"/>
          <w:szCs w:val="28"/>
          <w:highlight w:val="none"/>
          <w:shd w:val="clear" w:color="auto" w:fill="auto"/>
          <w:lang w:val="en-US" w:eastAsia="zh-CN" w:bidi="ar"/>
        </w:rPr>
      </w:pPr>
      <w:r>
        <w:rPr>
          <w:rFonts w:hint="eastAsia" w:ascii="仿宋" w:hAnsi="仿宋" w:eastAsia="仿宋" w:cs="仿宋"/>
          <w:color w:val="000000"/>
          <w:kern w:val="0"/>
          <w:sz w:val="28"/>
          <w:szCs w:val="28"/>
          <w:highlight w:val="none"/>
          <w:shd w:val="clear" w:color="auto" w:fill="auto"/>
          <w:lang w:val="en-US" w:eastAsia="zh-CN" w:bidi="ar"/>
        </w:rPr>
        <w:t>（3）商品信息采集实训室</w:t>
      </w:r>
    </w:p>
    <w:p>
      <w:pPr>
        <w:widowControl/>
        <w:shd w:val="clear"/>
        <w:spacing w:line="360" w:lineRule="auto"/>
        <w:ind w:firstLine="560" w:firstLineChars="200"/>
        <w:jc w:val="left"/>
        <w:rPr>
          <w:rFonts w:hint="default" w:ascii="仿宋" w:hAnsi="仿宋" w:eastAsia="仿宋" w:cs="仿宋"/>
          <w:color w:val="000000"/>
          <w:kern w:val="0"/>
          <w:sz w:val="28"/>
          <w:szCs w:val="28"/>
          <w:highlight w:val="none"/>
          <w:shd w:val="clear" w:color="auto" w:fill="auto"/>
          <w:lang w:val="en-US" w:eastAsia="zh-CN" w:bidi="ar"/>
        </w:rPr>
      </w:pPr>
      <w:r>
        <w:rPr>
          <w:rFonts w:hint="eastAsia" w:ascii="仿宋" w:hAnsi="仿宋" w:eastAsia="仿宋" w:cs="仿宋"/>
          <w:color w:val="000000"/>
          <w:kern w:val="0"/>
          <w:sz w:val="28"/>
          <w:szCs w:val="28"/>
          <w:highlight w:val="none"/>
          <w:shd w:val="clear" w:color="auto" w:fill="auto"/>
          <w:lang w:val="en-US" w:eastAsia="zh-CN" w:bidi="ar"/>
        </w:rPr>
        <w:t>配备影像采集设备、三脚架、灯光系统、直播核心设备，具备商品信息采集拍摄和直播工具，用于商品信息采集和直播等实训教学。</w:t>
      </w:r>
    </w:p>
    <w:p>
      <w:pPr>
        <w:pStyle w:val="4"/>
        <w:widowControl/>
        <w:numPr>
          <w:ilvl w:val="0"/>
          <w:numId w:val="6"/>
        </w:numPr>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实习场所基本要求</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pPr>
        <w:widowControl/>
        <w:shd w:val="clear"/>
        <w:spacing w:line="360" w:lineRule="auto"/>
        <w:ind w:firstLine="560" w:firstLineChars="200"/>
        <w:jc w:val="left"/>
        <w:rPr>
          <w:rFonts w:hint="eastAsia"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根据本专业人才培养的需要和未来就业需求，实习基地</w:t>
      </w:r>
      <w:r>
        <w:rPr>
          <w:rFonts w:hint="eastAsia" w:ascii="仿宋" w:hAnsi="仿宋" w:eastAsia="仿宋" w:cs="仿宋"/>
          <w:color w:val="000000"/>
          <w:kern w:val="0"/>
          <w:sz w:val="28"/>
          <w:szCs w:val="28"/>
          <w:highlight w:val="none"/>
          <w:shd w:val="clear" w:color="auto" w:fill="auto"/>
          <w:lang w:val="en-US" w:eastAsia="zh-CN" w:bidi="ar"/>
        </w:rPr>
        <w:t>应能提供运营主管、全渠道营销主管、</w:t>
      </w:r>
      <w:r>
        <w:rPr>
          <w:rFonts w:hint="default" w:ascii="仿宋" w:hAnsi="仿宋" w:eastAsia="仿宋" w:cs="仿宋"/>
          <w:color w:val="000000"/>
          <w:kern w:val="0"/>
          <w:sz w:val="28"/>
          <w:szCs w:val="28"/>
          <w:highlight w:val="none"/>
          <w:shd w:val="clear" w:color="auto" w:fill="auto"/>
          <w:lang w:val="en-US" w:eastAsia="zh-CN" w:bidi="ar"/>
        </w:rPr>
        <w:t xml:space="preserve">O2O </w:t>
      </w:r>
      <w:r>
        <w:rPr>
          <w:rFonts w:hint="eastAsia" w:ascii="仿宋" w:hAnsi="仿宋" w:eastAsia="仿宋" w:cs="仿宋"/>
          <w:color w:val="000000"/>
          <w:kern w:val="0"/>
          <w:sz w:val="28"/>
          <w:szCs w:val="28"/>
          <w:highlight w:val="none"/>
          <w:shd w:val="clear" w:color="auto" w:fill="auto"/>
          <w:lang w:val="en-US" w:eastAsia="zh-CN" w:bidi="ar"/>
        </w:rPr>
        <w:t>销售主管、视觉营销设计师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w:t>
      </w:r>
      <w:r>
        <w:rPr>
          <w:rFonts w:hint="eastAsia" w:ascii="仿宋" w:hAnsi="仿宋" w:eastAsia="仿宋" w:cs="仿宋"/>
          <w:color w:val="000000"/>
          <w:kern w:val="0"/>
          <w:sz w:val="28"/>
          <w:szCs w:val="28"/>
          <w:highlight w:val="none"/>
          <w:shd w:val="clear" w:color="auto" w:fill="auto"/>
          <w:lang w:bidi="ar"/>
        </w:rPr>
        <w:t xml:space="preserve">开展专业教学和职业技能训练，完成实习质量评价，做好学生实习服务和管理工作，有保证实习学生日常工作、学习、生活的规章制度，有安全、保险保障，依法依规保障学生的基本权益。 </w:t>
      </w:r>
    </w:p>
    <w:p>
      <w:pPr>
        <w:pStyle w:val="4"/>
        <w:widowControl/>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（二）教学资源</w:t>
      </w:r>
    </w:p>
    <w:p>
      <w:pPr>
        <w:pStyle w:val="4"/>
        <w:widowControl/>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1.教材选用基本要求</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按照国家规定，经过规范程序选用教材，优先选用国家规划教材和国家优秀教材。专业课程教材应体现本行业新技术、新规范、新标准、新形态，并通过数字教材、活页式教材等多种方式进行动态更新。</w:t>
      </w:r>
    </w:p>
    <w:p>
      <w:pPr>
        <w:pStyle w:val="4"/>
        <w:widowControl/>
        <w:numPr>
          <w:ilvl w:val="0"/>
          <w:numId w:val="7"/>
        </w:numPr>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图书文献配备基本要求</w:t>
      </w:r>
    </w:p>
    <w:p>
      <w:pPr>
        <w:widowControl/>
        <w:shd w:val="clear"/>
        <w:spacing w:line="360" w:lineRule="auto"/>
        <w:ind w:firstLine="560" w:firstLineChars="200"/>
        <w:jc w:val="left"/>
        <w:rPr>
          <w:rFonts w:hint="eastAsia"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val="en-US" w:eastAsia="zh-CN" w:bidi="ar"/>
        </w:rPr>
        <w:t>图书文献配备能满足人才培养、专业建设、教科研等工作的需要。专业类图书文献主要包括：有关电子商务技术、方法、思维以及实务操作类图书，经济、管理和文化类文献等。及时配置新经济、新技术、新工艺、新材料、新管理方式、新服务方式等相关的图书文献。</w:t>
      </w:r>
    </w:p>
    <w:p>
      <w:pPr>
        <w:pStyle w:val="4"/>
        <w:widowControl/>
        <w:numPr>
          <w:ilvl w:val="0"/>
          <w:numId w:val="7"/>
        </w:numPr>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数字教学资源配置基本要求</w:t>
      </w:r>
    </w:p>
    <w:p>
      <w:pPr>
        <w:widowControl/>
        <w:shd w:val="clear"/>
        <w:spacing w:line="360" w:lineRule="auto"/>
        <w:ind w:firstLine="560" w:firstLineChars="200"/>
        <w:jc w:val="left"/>
        <w:rPr>
          <w:rStyle w:val="8"/>
          <w:rFonts w:ascii="Times New Roman" w:hAnsi="Times New Roman" w:eastAsia="楷体" w:cs="Times New Roman"/>
          <w:b w:val="0"/>
          <w:bCs/>
          <w:color w:val="191919"/>
          <w:sz w:val="28"/>
          <w:szCs w:val="28"/>
          <w:highlight w:val="none"/>
          <w:shd w:val="clear" w:color="auto" w:fill="auto"/>
        </w:rPr>
      </w:pPr>
      <w:r>
        <w:rPr>
          <w:rFonts w:hint="eastAsia" w:ascii="仿宋" w:hAnsi="仿宋" w:eastAsia="仿宋" w:cs="仿宋"/>
          <w:color w:val="000000"/>
          <w:kern w:val="0"/>
          <w:sz w:val="28"/>
          <w:szCs w:val="28"/>
          <w:highlight w:val="none"/>
          <w:shd w:val="clear" w:color="auto" w:fill="auto"/>
          <w:lang w:bidi="ar"/>
        </w:rPr>
        <w:t>建设、配备与本专业有关的音视频素材、教学课件、数字化教学案例库、虚拟仿真软件等专业教学资源库，种类丰富、形式多样、使用便捷、动态更新、满足教学。</w:t>
      </w:r>
    </w:p>
    <w:p>
      <w:pPr>
        <w:pStyle w:val="4"/>
        <w:widowControl/>
        <w:shd w:val="clear" w:color="auto"/>
        <w:adjustRightInd w:val="0"/>
        <w:snapToGrid w:val="0"/>
        <w:spacing w:beforeAutospacing="0" w:afterAutospacing="0" w:line="360" w:lineRule="auto"/>
        <w:ind w:firstLine="560" w:firstLineChars="200"/>
        <w:rPr>
          <w:rStyle w:val="8"/>
          <w:rFonts w:ascii="黑体" w:hAnsi="黑体" w:eastAsia="黑体" w:cs="黑体"/>
          <w:b w:val="0"/>
          <w:bCs/>
          <w:color w:val="191919"/>
          <w:sz w:val="28"/>
          <w:szCs w:val="28"/>
          <w:highlight w:val="none"/>
          <w:shd w:val="clear" w:color="auto" w:fill="auto"/>
        </w:rPr>
      </w:pPr>
      <w:r>
        <w:rPr>
          <w:rStyle w:val="8"/>
          <w:rFonts w:hint="eastAsia" w:ascii="黑体" w:hAnsi="黑体" w:eastAsia="黑体" w:cs="黑体"/>
          <w:b w:val="0"/>
          <w:bCs/>
          <w:color w:val="191919"/>
          <w:sz w:val="28"/>
          <w:szCs w:val="28"/>
          <w:highlight w:val="none"/>
          <w:shd w:val="clear" w:color="auto" w:fill="auto"/>
        </w:rPr>
        <w:t>十</w:t>
      </w:r>
      <w:r>
        <w:rPr>
          <w:rStyle w:val="8"/>
          <w:rFonts w:ascii="黑体" w:hAnsi="黑体" w:eastAsia="黑体" w:cs="黑体"/>
          <w:b w:val="0"/>
          <w:bCs/>
          <w:color w:val="191919"/>
          <w:sz w:val="28"/>
          <w:szCs w:val="28"/>
          <w:highlight w:val="none"/>
          <w:shd w:val="clear" w:color="auto" w:fill="auto"/>
        </w:rPr>
        <w:t>、</w:t>
      </w:r>
      <w:r>
        <w:rPr>
          <w:rStyle w:val="8"/>
          <w:rFonts w:hint="eastAsia" w:ascii="黑体" w:hAnsi="黑体" w:eastAsia="黑体" w:cs="黑体"/>
          <w:b w:val="0"/>
          <w:bCs/>
          <w:color w:val="191919"/>
          <w:sz w:val="28"/>
          <w:szCs w:val="28"/>
          <w:highlight w:val="none"/>
          <w:shd w:val="clear" w:color="auto" w:fill="auto"/>
        </w:rPr>
        <w:t>质量保障和</w:t>
      </w:r>
      <w:r>
        <w:rPr>
          <w:rStyle w:val="8"/>
          <w:rFonts w:ascii="黑体" w:hAnsi="黑体" w:eastAsia="黑体" w:cs="黑体"/>
          <w:b w:val="0"/>
          <w:bCs/>
          <w:color w:val="191919"/>
          <w:sz w:val="28"/>
          <w:szCs w:val="28"/>
          <w:highlight w:val="none"/>
          <w:shd w:val="clear" w:color="auto" w:fill="auto"/>
        </w:rPr>
        <w:t>毕业要求</w:t>
      </w:r>
    </w:p>
    <w:p>
      <w:pPr>
        <w:pStyle w:val="4"/>
        <w:widowControl/>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（一）质量保障</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w:t>
      </w:r>
      <w:r>
        <w:rPr>
          <w:rFonts w:ascii="仿宋" w:hAnsi="仿宋" w:eastAsia="仿宋" w:cs="仿宋"/>
          <w:color w:val="000000"/>
          <w:kern w:val="0"/>
          <w:sz w:val="28"/>
          <w:szCs w:val="28"/>
          <w:highlight w:val="none"/>
          <w:shd w:val="clear" w:color="auto" w:fill="auto"/>
          <w:lang w:bidi="ar"/>
        </w:rPr>
        <w:t>1</w:t>
      </w:r>
      <w:r>
        <w:rPr>
          <w:rFonts w:hint="eastAsia" w:ascii="仿宋" w:hAnsi="仿宋" w:eastAsia="仿宋" w:cs="仿宋"/>
          <w:color w:val="000000"/>
          <w:kern w:val="0"/>
          <w:sz w:val="28"/>
          <w:szCs w:val="28"/>
          <w:highlight w:val="none"/>
          <w:shd w:val="clear" w:color="auto" w:fill="auto"/>
          <w:lang w:bidi="ar"/>
        </w:rPr>
        <w:t xml:space="preserve">）学校和系部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 </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w:t>
      </w:r>
      <w:r>
        <w:rPr>
          <w:rFonts w:ascii="仿宋" w:hAnsi="仿宋" w:eastAsia="仿宋" w:cs="仿宋"/>
          <w:color w:val="000000"/>
          <w:kern w:val="0"/>
          <w:sz w:val="28"/>
          <w:szCs w:val="28"/>
          <w:highlight w:val="none"/>
          <w:shd w:val="clear" w:color="auto" w:fill="auto"/>
          <w:lang w:bidi="ar"/>
        </w:rPr>
        <w:t>2</w:t>
      </w:r>
      <w:r>
        <w:rPr>
          <w:rFonts w:hint="eastAsia" w:ascii="仿宋" w:hAnsi="仿宋" w:eastAsia="仿宋" w:cs="仿宋"/>
          <w:color w:val="000000"/>
          <w:kern w:val="0"/>
          <w:sz w:val="28"/>
          <w:szCs w:val="28"/>
          <w:highlight w:val="none"/>
          <w:shd w:val="clear" w:color="auto" w:fill="auto"/>
          <w:lang w:bidi="ar"/>
        </w:rPr>
        <w:t xml:space="preserve">）学校和系部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 </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w:t>
      </w:r>
      <w:r>
        <w:rPr>
          <w:rFonts w:ascii="仿宋" w:hAnsi="仿宋" w:eastAsia="仿宋" w:cs="仿宋"/>
          <w:color w:val="000000"/>
          <w:kern w:val="0"/>
          <w:sz w:val="28"/>
          <w:szCs w:val="28"/>
          <w:highlight w:val="none"/>
          <w:shd w:val="clear" w:color="auto" w:fill="auto"/>
          <w:lang w:bidi="ar"/>
        </w:rPr>
        <w:t>3</w:t>
      </w:r>
      <w:r>
        <w:rPr>
          <w:rFonts w:hint="eastAsia" w:ascii="仿宋" w:hAnsi="仿宋" w:eastAsia="仿宋" w:cs="仿宋"/>
          <w:color w:val="000000"/>
          <w:kern w:val="0"/>
          <w:sz w:val="28"/>
          <w:szCs w:val="28"/>
          <w:highlight w:val="none"/>
          <w:shd w:val="clear" w:color="auto" w:fill="auto"/>
          <w:lang w:bidi="ar"/>
        </w:rPr>
        <w:t xml:space="preserve">）专业教研组织应建立线上线下相结合的集中备课制度，定期召开教学研讨会议，利用评价分析结果有效改进专业教学，持续提高人才培养质量。 </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w:t>
      </w:r>
      <w:r>
        <w:rPr>
          <w:rFonts w:ascii="仿宋" w:hAnsi="仿宋" w:eastAsia="仿宋" w:cs="仿宋"/>
          <w:color w:val="000000"/>
          <w:kern w:val="0"/>
          <w:sz w:val="28"/>
          <w:szCs w:val="28"/>
          <w:highlight w:val="none"/>
          <w:shd w:val="clear" w:color="auto" w:fill="auto"/>
          <w:lang w:bidi="ar"/>
        </w:rPr>
        <w:t>4</w:t>
      </w:r>
      <w:r>
        <w:rPr>
          <w:rFonts w:hint="eastAsia" w:ascii="仿宋" w:hAnsi="仿宋" w:eastAsia="仿宋" w:cs="仿宋"/>
          <w:color w:val="000000"/>
          <w:kern w:val="0"/>
          <w:sz w:val="28"/>
          <w:szCs w:val="28"/>
          <w:highlight w:val="none"/>
          <w:shd w:val="clear" w:color="auto" w:fill="auto"/>
          <w:lang w:bidi="ar"/>
        </w:rPr>
        <w:t>）学校应建立毕业生跟踪反馈机制及社会评价机制，并对生源情况、职业道德、技术技能水平、就业质量等进行分析，定期评价人才培养质量和培养目标达成情况。</w:t>
      </w:r>
    </w:p>
    <w:p>
      <w:pPr>
        <w:pStyle w:val="4"/>
        <w:widowControl/>
        <w:numPr>
          <w:ilvl w:val="0"/>
          <w:numId w:val="8"/>
        </w:numPr>
        <w:shd w:val="clear" w:color="auto"/>
        <w:adjustRightInd w:val="0"/>
        <w:snapToGrid w:val="0"/>
        <w:spacing w:beforeAutospacing="0" w:afterAutospacing="0" w:line="360" w:lineRule="auto"/>
        <w:ind w:firstLine="560" w:firstLineChars="200"/>
        <w:rPr>
          <w:rStyle w:val="8"/>
          <w:rFonts w:ascii="Times New Roman" w:hAnsi="Times New Roman" w:eastAsia="楷体"/>
          <w:b w:val="0"/>
          <w:bCs/>
          <w:color w:val="191919"/>
          <w:sz w:val="28"/>
          <w:szCs w:val="28"/>
          <w:highlight w:val="none"/>
          <w:shd w:val="clear" w:color="auto" w:fill="auto"/>
        </w:rPr>
      </w:pPr>
      <w:r>
        <w:rPr>
          <w:rStyle w:val="8"/>
          <w:rFonts w:hint="eastAsia" w:ascii="Times New Roman" w:hAnsi="Times New Roman" w:eastAsia="楷体"/>
          <w:b w:val="0"/>
          <w:bCs/>
          <w:color w:val="191919"/>
          <w:sz w:val="28"/>
          <w:szCs w:val="28"/>
          <w:highlight w:val="none"/>
          <w:shd w:val="clear" w:color="auto" w:fill="auto"/>
        </w:rPr>
        <w:t>毕业要求</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 xml:space="preserve">根据专业人才培养方案确定的目标和培养规格，完成规定的实习实训，全部课程考核合格或修满学分，准予毕业。 </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学校可结合办学实际，细化、明确学生课程修习、学业成绩、实践经历、职业素养、综合素质等方面的学习要求和考核要求等。严把毕业出口关，确保学生毕业时完成规定的学时学分和各教学环节，保证毕业要求的达成度。</w:t>
      </w:r>
      <w:r>
        <w:rPr>
          <w:rFonts w:ascii="仿宋" w:hAnsi="仿宋" w:eastAsia="仿宋" w:cs="仿宋"/>
          <w:color w:val="000000"/>
          <w:kern w:val="0"/>
          <w:sz w:val="28"/>
          <w:szCs w:val="28"/>
          <w:highlight w:val="none"/>
          <w:shd w:val="clear" w:color="auto" w:fill="auto"/>
          <w:lang w:bidi="ar"/>
        </w:rPr>
        <w:t xml:space="preserve"> </w:t>
      </w:r>
    </w:p>
    <w:p>
      <w:pPr>
        <w:widowControl/>
        <w:shd w:val="clear"/>
        <w:spacing w:line="360" w:lineRule="auto"/>
        <w:ind w:firstLine="560" w:firstLineChars="200"/>
        <w:jc w:val="left"/>
        <w:rPr>
          <w:rFonts w:ascii="仿宋" w:hAnsi="仿宋" w:eastAsia="仿宋" w:cs="仿宋"/>
          <w:color w:val="000000"/>
          <w:kern w:val="0"/>
          <w:sz w:val="28"/>
          <w:szCs w:val="28"/>
          <w:highlight w:val="none"/>
          <w:shd w:val="clear" w:color="auto" w:fill="auto"/>
          <w:lang w:bidi="ar"/>
        </w:rPr>
      </w:pPr>
      <w:r>
        <w:rPr>
          <w:rFonts w:hint="eastAsia" w:ascii="仿宋" w:hAnsi="仿宋" w:eastAsia="仿宋" w:cs="仿宋"/>
          <w:color w:val="000000"/>
          <w:kern w:val="0"/>
          <w:sz w:val="28"/>
          <w:szCs w:val="28"/>
          <w:highlight w:val="none"/>
          <w:shd w:val="clear" w:color="auto" w:fill="auto"/>
          <w:lang w:bidi="ar"/>
        </w:rPr>
        <w:t>接受职业培训取得的职业技能等级证书、培训证书等学习成果，经职业学校认定，可以转化为相应的学历教育学分；达到相应职业学校学业要求的，可以取得相应的学业证书。</w:t>
      </w:r>
    </w:p>
    <w:p>
      <w:pPr>
        <w:pStyle w:val="4"/>
        <w:widowControl/>
        <w:shd w:val="clear" w:color="auto"/>
        <w:adjustRightInd w:val="0"/>
        <w:snapToGrid w:val="0"/>
        <w:spacing w:beforeAutospacing="0" w:afterAutospacing="0" w:line="360" w:lineRule="auto"/>
        <w:ind w:firstLine="560" w:firstLineChars="200"/>
        <w:rPr>
          <w:rStyle w:val="8"/>
          <w:rFonts w:ascii="黑体" w:hAnsi="黑体" w:eastAsia="黑体" w:cs="黑体"/>
          <w:b w:val="0"/>
          <w:bCs/>
          <w:color w:val="191919"/>
          <w:sz w:val="28"/>
          <w:szCs w:val="28"/>
          <w:highlight w:val="none"/>
          <w:shd w:val="clear" w:color="auto" w:fill="auto"/>
        </w:rPr>
      </w:pPr>
      <w:r>
        <w:rPr>
          <w:rStyle w:val="8"/>
          <w:rFonts w:hint="eastAsia" w:ascii="黑体" w:hAnsi="黑体" w:eastAsia="黑体" w:cs="黑体"/>
          <w:b w:val="0"/>
          <w:bCs/>
          <w:color w:val="191919"/>
          <w:sz w:val="28"/>
          <w:szCs w:val="28"/>
          <w:highlight w:val="none"/>
          <w:shd w:val="clear" w:color="auto" w:fill="auto"/>
        </w:rPr>
        <w:t>十一、附录</w:t>
      </w:r>
    </w:p>
    <w:p>
      <w:pPr>
        <w:pStyle w:val="4"/>
        <w:widowControl/>
        <w:shd w:val="clear" w:color="auto"/>
        <w:adjustRightInd w:val="0"/>
        <w:snapToGrid w:val="0"/>
        <w:spacing w:beforeAutospacing="0" w:afterAutospacing="0" w:line="360" w:lineRule="auto"/>
        <w:ind w:firstLine="560" w:firstLineChars="200"/>
        <w:rPr>
          <w:rFonts w:ascii="Times New Roman" w:hAnsi="Times New Roman" w:eastAsia="仿宋"/>
          <w:color w:val="191919"/>
          <w:sz w:val="28"/>
          <w:szCs w:val="28"/>
          <w:highlight w:val="none"/>
          <w:shd w:val="clear" w:color="auto" w:fill="auto"/>
        </w:rPr>
        <w:sectPr>
          <w:pgSz w:w="11906" w:h="16838"/>
          <w:pgMar w:top="1440" w:right="1134" w:bottom="873" w:left="1701" w:header="851" w:footer="992" w:gutter="0"/>
          <w:cols w:space="425" w:num="1"/>
          <w:docGrid w:type="lines" w:linePitch="312" w:charSpace="0"/>
        </w:sectPr>
      </w:pPr>
      <w:r>
        <w:rPr>
          <w:rFonts w:ascii="Times New Roman" w:hAnsi="Times New Roman" w:eastAsia="仿宋"/>
          <w:color w:val="191919"/>
          <w:sz w:val="28"/>
          <w:szCs w:val="28"/>
          <w:highlight w:val="none"/>
          <w:shd w:val="clear" w:color="auto" w:fill="auto"/>
        </w:rPr>
        <w:t>一般包括教学进程安排表、变更审批表等。</w:t>
      </w:r>
    </w:p>
    <w:p>
      <w:pPr>
        <w:shd w:val="clear"/>
        <w:jc w:val="left"/>
        <w:rPr>
          <w:rFonts w:ascii="Times New Roman" w:hAnsi="Times New Roman" w:eastAsia="仿宋" w:cs="Times New Roman"/>
          <w:b/>
          <w:bCs/>
          <w:sz w:val="28"/>
          <w:szCs w:val="28"/>
          <w:highlight w:val="none"/>
          <w:shd w:val="clear" w:color="auto" w:fill="auto"/>
        </w:rPr>
      </w:pPr>
      <w:r>
        <w:rPr>
          <w:rFonts w:hint="eastAsia" w:ascii="仿宋" w:hAnsi="仿宋" w:eastAsia="仿宋"/>
          <w:sz w:val="28"/>
          <w:szCs w:val="28"/>
          <w:highlight w:val="none"/>
          <w:shd w:val="clear" w:color="auto" w:fill="auto"/>
        </w:rPr>
        <w:t xml:space="preserve"> 附录1</w:t>
      </w:r>
    </w:p>
    <w:p>
      <w:pPr>
        <w:shd w:val="clear"/>
        <w:jc w:val="center"/>
        <w:rPr>
          <w:rFonts w:ascii="Times New Roman" w:hAnsi="Times New Roman" w:cs="Times New Roman"/>
          <w:b/>
          <w:bCs/>
          <w:sz w:val="28"/>
          <w:szCs w:val="28"/>
          <w:highlight w:val="none"/>
          <w:shd w:val="clear" w:color="auto" w:fill="auto"/>
        </w:rPr>
      </w:pPr>
      <w:r>
        <w:rPr>
          <w:rFonts w:ascii="Times New Roman" w:hAnsi="Times New Roman" w:cs="Times New Roman"/>
          <w:b/>
          <w:bCs/>
          <w:sz w:val="28"/>
          <w:szCs w:val="28"/>
          <w:highlight w:val="none"/>
          <w:shd w:val="clear" w:color="auto" w:fill="auto"/>
        </w:rPr>
        <w:t>202</w:t>
      </w:r>
      <w:r>
        <w:rPr>
          <w:rFonts w:hint="eastAsia" w:ascii="Times New Roman" w:hAnsi="Times New Roman" w:cs="Times New Roman"/>
          <w:b/>
          <w:bCs/>
          <w:sz w:val="28"/>
          <w:szCs w:val="28"/>
          <w:highlight w:val="none"/>
          <w:shd w:val="clear" w:color="auto" w:fill="auto"/>
        </w:rPr>
        <w:t>5</w:t>
      </w:r>
      <w:r>
        <w:rPr>
          <w:rFonts w:ascii="Times New Roman" w:hAnsi="Times New Roman" w:cs="Times New Roman"/>
          <w:b/>
          <w:bCs/>
          <w:sz w:val="28"/>
          <w:szCs w:val="28"/>
          <w:highlight w:val="none"/>
          <w:shd w:val="clear" w:color="auto" w:fill="auto"/>
        </w:rPr>
        <w:t>级</w:t>
      </w:r>
      <w:r>
        <w:rPr>
          <w:rFonts w:hint="eastAsia" w:ascii="Times New Roman" w:hAnsi="Times New Roman" w:cs="Times New Roman"/>
          <w:b/>
          <w:bCs/>
          <w:sz w:val="28"/>
          <w:szCs w:val="28"/>
          <w:highlight w:val="none"/>
          <w:shd w:val="clear" w:color="auto" w:fill="auto"/>
          <w:lang w:val="en-US" w:eastAsia="zh-CN"/>
        </w:rPr>
        <w:t>电子商务</w:t>
      </w:r>
      <w:r>
        <w:rPr>
          <w:rFonts w:hint="eastAsia" w:ascii="Times New Roman" w:hAnsi="Times New Roman" w:cs="Times New Roman"/>
          <w:b/>
          <w:bCs/>
          <w:sz w:val="28"/>
          <w:szCs w:val="28"/>
          <w:highlight w:val="none"/>
          <w:shd w:val="clear" w:color="auto" w:fill="auto"/>
        </w:rPr>
        <w:t>专业</w:t>
      </w:r>
      <w:r>
        <w:rPr>
          <w:rFonts w:ascii="Times New Roman" w:hAnsi="Times New Roman" w:cs="Times New Roman"/>
          <w:b/>
          <w:bCs/>
          <w:sz w:val="28"/>
          <w:szCs w:val="28"/>
          <w:highlight w:val="none"/>
          <w:shd w:val="clear" w:color="auto" w:fill="auto"/>
        </w:rPr>
        <w:t>教学进程安排表</w:t>
      </w:r>
    </w:p>
    <w:tbl>
      <w:tblPr>
        <w:tblStyle w:val="5"/>
        <w:tblW w:w="0" w:type="auto"/>
        <w:jc w:val="center"/>
        <w:tblLayout w:type="fixed"/>
        <w:tblCellMar>
          <w:top w:w="0" w:type="dxa"/>
          <w:left w:w="0" w:type="dxa"/>
          <w:bottom w:w="0" w:type="dxa"/>
          <w:right w:w="0" w:type="dxa"/>
        </w:tblCellMar>
      </w:tblPr>
      <w:tblGrid>
        <w:gridCol w:w="588"/>
        <w:gridCol w:w="565"/>
        <w:gridCol w:w="1179"/>
        <w:gridCol w:w="661"/>
        <w:gridCol w:w="2202"/>
        <w:gridCol w:w="1100"/>
        <w:gridCol w:w="574"/>
        <w:gridCol w:w="645"/>
        <w:gridCol w:w="614"/>
        <w:gridCol w:w="614"/>
        <w:gridCol w:w="784"/>
        <w:gridCol w:w="185"/>
        <w:gridCol w:w="382"/>
        <w:gridCol w:w="584"/>
        <w:gridCol w:w="3"/>
        <w:gridCol w:w="642"/>
        <w:gridCol w:w="327"/>
        <w:gridCol w:w="321"/>
        <w:gridCol w:w="649"/>
        <w:gridCol w:w="566"/>
        <w:gridCol w:w="649"/>
      </w:tblGrid>
      <w:tr>
        <w:tblPrEx>
          <w:tblCellMar>
            <w:top w:w="0" w:type="dxa"/>
            <w:left w:w="0" w:type="dxa"/>
            <w:bottom w:w="0" w:type="dxa"/>
            <w:right w:w="0" w:type="dxa"/>
          </w:tblCellMar>
        </w:tblPrEx>
        <w:trPr>
          <w:trHeight w:val="285" w:hRule="exact"/>
          <w:jc w:val="center"/>
        </w:trPr>
        <w:tc>
          <w:tcPr>
            <w:tcW w:w="1153" w:type="dxa"/>
            <w:gridSpan w:val="2"/>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课程类别</w:t>
            </w:r>
          </w:p>
        </w:tc>
        <w:tc>
          <w:tcPr>
            <w:tcW w:w="117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课程性质</w:t>
            </w:r>
          </w:p>
        </w:tc>
        <w:tc>
          <w:tcPr>
            <w:tcW w:w="66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序号</w:t>
            </w:r>
          </w:p>
        </w:tc>
        <w:tc>
          <w:tcPr>
            <w:tcW w:w="220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课程名称</w:t>
            </w:r>
          </w:p>
        </w:tc>
        <w:tc>
          <w:tcPr>
            <w:tcW w:w="110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课程代码</w:t>
            </w:r>
          </w:p>
        </w:tc>
        <w:tc>
          <w:tcPr>
            <w:tcW w:w="57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学分</w:t>
            </w:r>
          </w:p>
        </w:tc>
        <w:tc>
          <w:tcPr>
            <w:tcW w:w="64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总学时</w:t>
            </w:r>
          </w:p>
        </w:tc>
        <w:tc>
          <w:tcPr>
            <w:tcW w:w="61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理论</w:t>
            </w:r>
          </w:p>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学时</w:t>
            </w:r>
          </w:p>
        </w:tc>
        <w:tc>
          <w:tcPr>
            <w:tcW w:w="61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实践</w:t>
            </w:r>
          </w:p>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学时</w:t>
            </w:r>
          </w:p>
        </w:tc>
        <w:tc>
          <w:tcPr>
            <w:tcW w:w="3874" w:type="dxa"/>
            <w:gridSpan w:val="9"/>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各学期周学时分配</w:t>
            </w:r>
          </w:p>
        </w:tc>
        <w:tc>
          <w:tcPr>
            <w:tcW w:w="56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考核</w:t>
            </w:r>
          </w:p>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方式</w:t>
            </w:r>
          </w:p>
        </w:tc>
        <w:tc>
          <w:tcPr>
            <w:tcW w:w="6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考核</w:t>
            </w:r>
          </w:p>
        </w:tc>
      </w:tr>
      <w:tr>
        <w:tblPrEx>
          <w:tblCellMar>
            <w:top w:w="0" w:type="dxa"/>
            <w:left w:w="0" w:type="dxa"/>
            <w:bottom w:w="0" w:type="dxa"/>
            <w:right w:w="0" w:type="dxa"/>
          </w:tblCellMar>
        </w:tblPrEx>
        <w:trPr>
          <w:trHeight w:val="285" w:hRule="exact"/>
          <w:jc w:val="center"/>
        </w:trPr>
        <w:tc>
          <w:tcPr>
            <w:tcW w:w="1153"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117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66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220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57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64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1</w:t>
            </w:r>
          </w:p>
        </w:tc>
        <w:tc>
          <w:tcPr>
            <w:tcW w:w="567"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2</w:t>
            </w: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3</w:t>
            </w: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4</w:t>
            </w:r>
          </w:p>
        </w:tc>
        <w:tc>
          <w:tcPr>
            <w:tcW w:w="648"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5</w:t>
            </w: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6</w:t>
            </w:r>
          </w:p>
        </w:tc>
        <w:tc>
          <w:tcPr>
            <w:tcW w:w="56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6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r>
      <w:tr>
        <w:tblPrEx>
          <w:tblCellMar>
            <w:top w:w="0" w:type="dxa"/>
            <w:left w:w="0" w:type="dxa"/>
            <w:bottom w:w="0" w:type="dxa"/>
            <w:right w:w="0" w:type="dxa"/>
          </w:tblCellMar>
        </w:tblPrEx>
        <w:trPr>
          <w:trHeight w:val="319" w:hRule="exact"/>
          <w:jc w:val="center"/>
        </w:trPr>
        <w:tc>
          <w:tcPr>
            <w:tcW w:w="1153"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117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66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220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57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64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7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16+3+1</w:t>
            </w:r>
          </w:p>
        </w:tc>
        <w:tc>
          <w:tcPr>
            <w:tcW w:w="567" w:type="dxa"/>
            <w:gridSpan w:val="2"/>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16+2+1+1</w:t>
            </w: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16+2+1+1</w:t>
            </w:r>
          </w:p>
        </w:tc>
        <w:tc>
          <w:tcPr>
            <w:tcW w:w="645"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16+2+1+1</w:t>
            </w:r>
          </w:p>
        </w:tc>
        <w:tc>
          <w:tcPr>
            <w:tcW w:w="648"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12+3+4+1</w:t>
            </w:r>
          </w:p>
        </w:tc>
        <w:tc>
          <w:tcPr>
            <w:tcW w:w="64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16+1+2+1</w:t>
            </w:r>
          </w:p>
        </w:tc>
        <w:tc>
          <w:tcPr>
            <w:tcW w:w="56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p>
        </w:tc>
        <w:tc>
          <w:tcPr>
            <w:tcW w:w="6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b/>
                <w:bCs/>
                <w:kern w:val="0"/>
                <w:sz w:val="16"/>
                <w:szCs w:val="16"/>
                <w:highlight w:val="none"/>
                <w:shd w:val="clear" w:color="auto" w:fill="auto"/>
                <w:lang w:bidi="ar"/>
              </w:rPr>
            </w:pPr>
            <w:r>
              <w:rPr>
                <w:rFonts w:hint="eastAsia" w:ascii="宋体" w:hAnsi="宋体" w:eastAsia="宋体" w:cs="宋体"/>
                <w:b/>
                <w:bCs/>
                <w:kern w:val="0"/>
                <w:sz w:val="16"/>
                <w:szCs w:val="16"/>
                <w:highlight w:val="none"/>
                <w:shd w:val="clear" w:color="auto" w:fill="auto"/>
                <w:lang w:bidi="ar"/>
              </w:rPr>
              <w:t>学期</w:t>
            </w:r>
          </w:p>
        </w:tc>
      </w:tr>
      <w:tr>
        <w:tblPrEx>
          <w:tblCellMar>
            <w:top w:w="0" w:type="dxa"/>
            <w:left w:w="0" w:type="dxa"/>
            <w:bottom w:w="0" w:type="dxa"/>
            <w:right w:w="0" w:type="dxa"/>
          </w:tblCellMar>
        </w:tblPrEx>
        <w:trPr>
          <w:trHeight w:val="312" w:hRule="exact"/>
          <w:jc w:val="center"/>
        </w:trPr>
        <w:tc>
          <w:tcPr>
            <w:tcW w:w="1153"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117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66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220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110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57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64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7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567"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645"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64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64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56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c>
          <w:tcPr>
            <w:tcW w:w="6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b/>
                <w:sz w:val="16"/>
                <w:szCs w:val="16"/>
                <w:highlight w:val="none"/>
                <w:shd w:val="clear" w:color="auto" w:fill="auto"/>
              </w:rPr>
            </w:pPr>
          </w:p>
        </w:tc>
      </w:tr>
      <w:tr>
        <w:tblPrEx>
          <w:tblCellMar>
            <w:top w:w="0" w:type="dxa"/>
            <w:left w:w="0" w:type="dxa"/>
            <w:bottom w:w="0" w:type="dxa"/>
            <w:right w:w="0" w:type="dxa"/>
          </w:tblCellMar>
        </w:tblPrEx>
        <w:trPr>
          <w:trHeight w:val="366" w:hRule="exact"/>
          <w:jc w:val="center"/>
        </w:trPr>
        <w:tc>
          <w:tcPr>
            <w:tcW w:w="58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公共课</w:t>
            </w:r>
          </w:p>
        </w:tc>
        <w:tc>
          <w:tcPr>
            <w:tcW w:w="56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公共基础必修课</w:t>
            </w: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思想道德与法治</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24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9999991110</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16</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t>
            </w:r>
          </w:p>
        </w:tc>
        <w:tc>
          <w:tcPr>
            <w:tcW w:w="567"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K</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毛泽东思想和中国特色社会主义理论体系概论</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24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9999991111</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8</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kern w:val="0"/>
                <w:sz w:val="16"/>
                <w:szCs w:val="16"/>
                <w:highlight w:val="none"/>
                <w:shd w:val="clear" w:color="auto" w:fill="auto"/>
                <w:lang w:bidi="ar"/>
              </w:rPr>
            </w:pPr>
          </w:p>
        </w:tc>
        <w:tc>
          <w:tcPr>
            <w:tcW w:w="567"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t>
            </w: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K</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习近平新时代中国特色社会主义思想概论</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24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9999991112</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54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10</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kern w:val="0"/>
                <w:sz w:val="16"/>
                <w:szCs w:val="16"/>
                <w:highlight w:val="none"/>
                <w:shd w:val="clear" w:color="auto" w:fill="auto"/>
                <w:lang w:bidi="ar"/>
              </w:rPr>
            </w:pPr>
          </w:p>
        </w:tc>
        <w:tc>
          <w:tcPr>
            <w:tcW w:w="567"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t>
            </w: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K</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※形势与政策</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24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9999991150</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sz w:val="16"/>
                <w:szCs w:val="16"/>
                <w:highlight w:val="none"/>
                <w:shd w:val="clear" w:color="auto" w:fill="auto"/>
              </w:rPr>
              <w:t>1</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sz w:val="16"/>
                <w:szCs w:val="16"/>
                <w:highlight w:val="none"/>
                <w:shd w:val="clear" w:color="auto" w:fill="auto"/>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0</w:t>
            </w:r>
          </w:p>
        </w:tc>
        <w:tc>
          <w:tcPr>
            <w:tcW w:w="3874" w:type="dxa"/>
            <w:gridSpan w:val="9"/>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专题讲座</w:t>
            </w: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1-4</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5</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※军事理论</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24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9999991140</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0</w:t>
            </w:r>
          </w:p>
        </w:tc>
        <w:tc>
          <w:tcPr>
            <w:tcW w:w="3874" w:type="dxa"/>
            <w:gridSpan w:val="9"/>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专题讲座</w:t>
            </w: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6</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军事技能</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lang w:bidi="ar"/>
              </w:rPr>
              <w:t>9999991141</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112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112</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3W</w:t>
            </w:r>
          </w:p>
        </w:tc>
        <w:tc>
          <w:tcPr>
            <w:tcW w:w="567"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7</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大学生职业发展与就业指导</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lang w:bidi="ar"/>
              </w:rPr>
              <w:t>9999991151</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18</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kern w:val="0"/>
                <w:sz w:val="16"/>
                <w:szCs w:val="16"/>
                <w:highlight w:val="none"/>
                <w:shd w:val="clear" w:color="auto" w:fill="auto"/>
                <w:lang w:bidi="ar"/>
              </w:rPr>
            </w:pPr>
          </w:p>
        </w:tc>
        <w:tc>
          <w:tcPr>
            <w:tcW w:w="567"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1、4</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8</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创新创业教育</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lang w:bidi="ar"/>
              </w:rPr>
              <w:t>9999991142</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8</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rPr>
                <w:rFonts w:ascii="宋体" w:hAnsi="宋体" w:eastAsia="宋体" w:cs="宋体"/>
                <w:kern w:val="0"/>
                <w:sz w:val="16"/>
                <w:szCs w:val="16"/>
                <w:highlight w:val="none"/>
                <w:shd w:val="clear" w:color="auto" w:fill="auto"/>
                <w:lang w:bidi="ar"/>
              </w:rPr>
            </w:pPr>
          </w:p>
        </w:tc>
        <w:tc>
          <w:tcPr>
            <w:tcW w:w="567"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rPr>
                <w:rFonts w:ascii="宋体" w:hAnsi="宋体" w:eastAsia="宋体" w:cs="宋体"/>
                <w:sz w:val="16"/>
                <w:szCs w:val="16"/>
                <w:highlight w:val="none"/>
                <w:shd w:val="clear" w:color="auto" w:fill="auto"/>
              </w:rPr>
            </w:pP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9</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国家安全教育</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lang w:bidi="ar"/>
              </w:rPr>
              <w:t>9999991143</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6</w:t>
            </w:r>
          </w:p>
        </w:tc>
        <w:tc>
          <w:tcPr>
            <w:tcW w:w="3874" w:type="dxa"/>
            <w:gridSpan w:val="9"/>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专题讲座</w:t>
            </w: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1、2</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10</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心理健康教育</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lang w:bidi="ar"/>
              </w:rPr>
              <w:t>9999991144</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12</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kern w:val="0"/>
                <w:sz w:val="16"/>
                <w:szCs w:val="16"/>
                <w:highlight w:val="none"/>
                <w:shd w:val="clear" w:color="auto" w:fill="auto"/>
                <w:lang w:bidi="ar"/>
              </w:rPr>
            </w:pPr>
          </w:p>
        </w:tc>
        <w:tc>
          <w:tcPr>
            <w:tcW w:w="567"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1、2</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11</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体育与健康</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lang w:bidi="ar"/>
              </w:rPr>
              <w:t>9999991145</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108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72</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w:t>
            </w:r>
          </w:p>
        </w:tc>
        <w:tc>
          <w:tcPr>
            <w:tcW w:w="567"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t>
            </w: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1-3</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12</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公共英语</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lang w:bidi="ar"/>
              </w:rPr>
              <w:t>9999991113</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48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16</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w:t>
            </w:r>
          </w:p>
        </w:tc>
        <w:tc>
          <w:tcPr>
            <w:tcW w:w="567"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kern w:val="0"/>
                <w:sz w:val="16"/>
                <w:szCs w:val="16"/>
                <w:highlight w:val="none"/>
                <w:shd w:val="clear" w:color="auto" w:fill="auto"/>
                <w:lang w:bidi="ar"/>
              </w:rPr>
            </w:pPr>
            <w:r>
              <w:rPr>
                <w:rFonts w:hint="eastAsia" w:ascii="宋体" w:hAnsi="宋体" w:eastAsia="宋体" w:cs="宋体"/>
                <w:sz w:val="16"/>
                <w:szCs w:val="16"/>
                <w:highlight w:val="none"/>
                <w:shd w:val="clear" w:color="auto" w:fill="auto"/>
              </w:rPr>
              <w:t>2</w:t>
            </w: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1、2</w:t>
            </w:r>
          </w:p>
        </w:tc>
      </w:tr>
      <w:tr>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13</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信息技术</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lang w:bidi="ar"/>
              </w:rPr>
              <w:t>9999991146</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hint="eastAsia" w:ascii="宋体" w:hAnsi="宋体" w:eastAsia="宋体" w:cs="宋体"/>
                <w:kern w:val="0"/>
                <w:sz w:val="16"/>
                <w:szCs w:val="16"/>
                <w:highlight w:val="none"/>
                <w:shd w:val="clear" w:color="auto" w:fill="auto"/>
                <w:lang w:eastAsia="zh-CN" w:bidi="ar"/>
              </w:rPr>
            </w:pPr>
            <w:r>
              <w:rPr>
                <w:rFonts w:hint="eastAsia" w:ascii="宋体" w:hAnsi="宋体" w:eastAsia="宋体" w:cs="宋体"/>
                <w:kern w:val="0"/>
                <w:sz w:val="16"/>
                <w:szCs w:val="16"/>
                <w:highlight w:val="none"/>
                <w:shd w:val="clear" w:color="auto" w:fill="auto"/>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hint="default"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hint="default" w:ascii="宋体" w:hAnsi="宋体" w:eastAsia="宋体" w:cs="宋体"/>
                <w:sz w:val="16"/>
                <w:szCs w:val="16"/>
                <w:highlight w:val="none"/>
                <w:shd w:val="clear" w:color="auto" w:fill="auto"/>
                <w:lang w:val="en-US" w:eastAsia="zh-CN"/>
              </w:rPr>
            </w:pPr>
            <w:r>
              <w:rPr>
                <w:rFonts w:hint="eastAsia" w:ascii="宋体" w:hAnsi="宋体" w:eastAsia="宋体" w:cs="宋体"/>
                <w:kern w:val="0"/>
                <w:sz w:val="16"/>
                <w:szCs w:val="16"/>
                <w:highlight w:val="none"/>
                <w:shd w:val="clear" w:color="auto" w:fill="auto"/>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hint="default"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c>
          <w:tcPr>
            <w:tcW w:w="567"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14</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※劳动教育</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lang w:bidi="ar"/>
              </w:rPr>
              <w:t>9999991153</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48</w:t>
            </w:r>
          </w:p>
        </w:tc>
        <w:tc>
          <w:tcPr>
            <w:tcW w:w="3874"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专题讲座/劳动实践（每学期理论4学时，实践12学时）</w:t>
            </w: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1-4</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15</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人工智通识课</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16"/>
                <w:szCs w:val="16"/>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9999991154</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12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4</w:t>
            </w:r>
          </w:p>
        </w:tc>
        <w:tc>
          <w:tcPr>
            <w:tcW w:w="3874"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i w:val="0"/>
                <w:iCs w:val="0"/>
                <w:color w:val="000000"/>
                <w:kern w:val="0"/>
                <w:sz w:val="16"/>
                <w:szCs w:val="16"/>
                <w:u w:val="none"/>
                <w:lang w:val="en-US" w:eastAsia="zh-CN" w:bidi="ar"/>
              </w:rPr>
              <w:t>线上+线下</w:t>
            </w: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sz w:val="16"/>
                <w:szCs w:val="16"/>
                <w:highlight w:val="none"/>
                <w:shd w:val="clear" w:color="auto" w:fill="auto"/>
              </w:rPr>
            </w:pPr>
          </w:p>
        </w:tc>
      </w:tr>
      <w:tr>
        <w:tblPrEx>
          <w:tblCellMar>
            <w:top w:w="0" w:type="dxa"/>
            <w:left w:w="0" w:type="dxa"/>
            <w:bottom w:w="0" w:type="dxa"/>
            <w:right w:w="0" w:type="dxa"/>
          </w:tblCellMar>
        </w:tblPrEx>
        <w:trPr>
          <w:trHeight w:val="484"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142"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小计15门</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16"/>
                <w:szCs w:val="16"/>
                <w:highlight w:val="none"/>
                <w:shd w:val="clear" w:color="auto" w:fill="auto"/>
                <w:lang w:eastAsia="zh-CN"/>
              </w:rPr>
            </w:pPr>
            <w:r>
              <w:rPr>
                <w:rFonts w:hint="eastAsia" w:ascii="宋体" w:hAnsi="宋体" w:eastAsia="宋体" w:cs="宋体"/>
                <w:i w:val="0"/>
                <w:iCs w:val="0"/>
                <w:color w:val="000000"/>
                <w:kern w:val="0"/>
                <w:sz w:val="16"/>
                <w:szCs w:val="16"/>
                <w:u w:val="none"/>
                <w:lang w:val="en-US" w:eastAsia="zh-CN" w:bidi="ar"/>
              </w:rPr>
              <w:t>33</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sz w:val="16"/>
                <w:szCs w:val="16"/>
                <w:highlight w:val="none"/>
                <w:shd w:val="clear" w:color="auto" w:fill="auto"/>
                <w:lang w:val="en-US" w:eastAsia="zh-CN"/>
              </w:rPr>
            </w:pPr>
            <w:r>
              <w:rPr>
                <w:rFonts w:hint="eastAsia" w:ascii="宋体" w:hAnsi="宋体" w:eastAsia="宋体" w:cs="宋体"/>
                <w:i w:val="0"/>
                <w:iCs w:val="0"/>
                <w:color w:val="000000"/>
                <w:kern w:val="0"/>
                <w:sz w:val="16"/>
                <w:szCs w:val="16"/>
                <w:u w:val="none"/>
                <w:lang w:val="en-US" w:eastAsia="zh-CN" w:bidi="ar"/>
              </w:rPr>
              <w:t>570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sz w:val="16"/>
                <w:szCs w:val="16"/>
                <w:highlight w:val="none"/>
                <w:shd w:val="clear" w:color="auto" w:fill="auto"/>
                <w:lang w:val="en-US" w:eastAsia="zh-CN"/>
              </w:rPr>
            </w:pPr>
            <w:r>
              <w:rPr>
                <w:rFonts w:hint="eastAsia" w:ascii="宋体" w:hAnsi="宋体" w:eastAsia="宋体" w:cs="宋体"/>
                <w:i w:val="0"/>
                <w:iCs w:val="0"/>
                <w:color w:val="000000"/>
                <w:kern w:val="0"/>
                <w:sz w:val="16"/>
                <w:szCs w:val="16"/>
                <w:u w:val="none"/>
                <w:lang w:val="en-US" w:eastAsia="zh-CN" w:bidi="ar"/>
              </w:rPr>
              <w:t>272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sz w:val="16"/>
                <w:szCs w:val="16"/>
                <w:highlight w:val="none"/>
                <w:shd w:val="clear" w:color="auto" w:fill="auto"/>
                <w:lang w:val="en-US" w:eastAsia="zh-CN"/>
              </w:rPr>
            </w:pPr>
            <w:r>
              <w:rPr>
                <w:rFonts w:hint="eastAsia" w:ascii="宋体" w:hAnsi="宋体" w:eastAsia="宋体" w:cs="宋体"/>
                <w:i w:val="0"/>
                <w:iCs w:val="0"/>
                <w:color w:val="000000"/>
                <w:kern w:val="0"/>
                <w:sz w:val="16"/>
                <w:szCs w:val="16"/>
                <w:u w:val="none"/>
                <w:lang w:val="en-US" w:eastAsia="zh-CN" w:bidi="ar"/>
              </w:rPr>
              <w:t>298</w:t>
            </w:r>
          </w:p>
        </w:tc>
        <w:tc>
          <w:tcPr>
            <w:tcW w:w="96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6"/>
                <w:szCs w:val="16"/>
                <w:highlight w:val="none"/>
                <w:shd w:val="clear" w:color="auto" w:fill="auto"/>
              </w:rPr>
            </w:pPr>
          </w:p>
        </w:tc>
        <w:tc>
          <w:tcPr>
            <w:tcW w:w="96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6"/>
                <w:szCs w:val="16"/>
                <w:highlight w:val="none"/>
                <w:shd w:val="clear" w:color="auto" w:fill="auto"/>
              </w:rPr>
            </w:pPr>
          </w:p>
        </w:tc>
        <w:tc>
          <w:tcPr>
            <w:tcW w:w="96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eastAsia="宋体" w:cs="宋体"/>
                <w:sz w:val="16"/>
                <w:szCs w:val="16"/>
                <w:highlight w:val="none"/>
                <w:shd w:val="clear" w:color="auto" w:fill="auto"/>
              </w:rPr>
            </w:pPr>
          </w:p>
        </w:tc>
        <w:tc>
          <w:tcPr>
            <w:tcW w:w="97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eastAsia="宋体" w:cs="宋体"/>
                <w:sz w:val="16"/>
                <w:szCs w:val="16"/>
                <w:highlight w:val="none"/>
                <w:shd w:val="clear" w:color="auto" w:fill="auto"/>
              </w:rPr>
            </w:pPr>
          </w:p>
        </w:tc>
      </w:tr>
      <w:tr>
        <w:tblPrEx>
          <w:tblCellMar>
            <w:top w:w="0" w:type="dxa"/>
            <w:left w:w="0" w:type="dxa"/>
            <w:bottom w:w="0" w:type="dxa"/>
            <w:right w:w="0" w:type="dxa"/>
          </w:tblCellMar>
        </w:tblPrEx>
        <w:trPr>
          <w:trHeight w:val="252"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243" w:type="dxa"/>
            <w:gridSpan w:val="2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r>
    </w:tbl>
    <w:p>
      <w:pPr>
        <w:widowControl/>
        <w:shd w:val="clear"/>
        <w:spacing w:line="180" w:lineRule="exact"/>
        <w:jc w:val="center"/>
        <w:rPr>
          <w:rFonts w:ascii="Times New Roman" w:hAnsi="Times New Roman" w:cs="Times New Roman"/>
          <w:color w:val="000000"/>
          <w:sz w:val="16"/>
          <w:szCs w:val="16"/>
          <w:highlight w:val="none"/>
          <w:shd w:val="clear" w:color="auto" w:fill="auto"/>
        </w:rPr>
      </w:pPr>
      <w:r>
        <w:rPr>
          <w:rFonts w:ascii="Times New Roman" w:hAnsi="Times New Roman" w:cs="Times New Roman"/>
          <w:color w:val="000000"/>
          <w:sz w:val="16"/>
          <w:szCs w:val="16"/>
          <w:highlight w:val="none"/>
          <w:shd w:val="clear" w:color="auto" w:fill="auto"/>
        </w:rPr>
        <w:br w:type="page"/>
      </w:r>
    </w:p>
    <w:tbl>
      <w:tblPr>
        <w:tblStyle w:val="5"/>
        <w:tblW w:w="0" w:type="auto"/>
        <w:jc w:val="center"/>
        <w:tblLayout w:type="fixed"/>
        <w:tblCellMar>
          <w:top w:w="0" w:type="dxa"/>
          <w:left w:w="0" w:type="dxa"/>
          <w:bottom w:w="0" w:type="dxa"/>
          <w:right w:w="0" w:type="dxa"/>
        </w:tblCellMar>
      </w:tblPr>
      <w:tblGrid>
        <w:gridCol w:w="588"/>
        <w:gridCol w:w="565"/>
        <w:gridCol w:w="69"/>
        <w:gridCol w:w="734"/>
        <w:gridCol w:w="376"/>
        <w:gridCol w:w="412"/>
        <w:gridCol w:w="2451"/>
        <w:gridCol w:w="1059"/>
        <w:gridCol w:w="615"/>
        <w:gridCol w:w="645"/>
        <w:gridCol w:w="614"/>
        <w:gridCol w:w="614"/>
        <w:gridCol w:w="784"/>
        <w:gridCol w:w="506"/>
        <w:gridCol w:w="645"/>
        <w:gridCol w:w="645"/>
        <w:gridCol w:w="648"/>
        <w:gridCol w:w="646"/>
        <w:gridCol w:w="566"/>
        <w:gridCol w:w="649"/>
      </w:tblGrid>
      <w:tr>
        <w:tblPrEx>
          <w:tblCellMar>
            <w:top w:w="0" w:type="dxa"/>
            <w:left w:w="0" w:type="dxa"/>
            <w:bottom w:w="0" w:type="dxa"/>
            <w:right w:w="0" w:type="dxa"/>
          </w:tblCellMar>
        </w:tblPrEx>
        <w:trPr>
          <w:trHeight w:val="285" w:hRule="exact"/>
          <w:jc w:val="cent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公共限定选修课</w:t>
            </w:r>
          </w:p>
        </w:tc>
        <w:tc>
          <w:tcPr>
            <w:tcW w:w="803" w:type="dxa"/>
            <w:gridSpan w:val="2"/>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公共限定选修课（8选4）</w:t>
            </w:r>
          </w:p>
          <w:p>
            <w:pPr>
              <w:widowControl/>
              <w:shd w:val="clear"/>
              <w:spacing w:line="180" w:lineRule="exact"/>
              <w:jc w:val="center"/>
              <w:textAlignment w:val="center"/>
              <w:rPr>
                <w:rFonts w:ascii="宋体" w:hAnsi="宋体" w:eastAsia="宋体" w:cs="宋体"/>
                <w:sz w:val="16"/>
                <w:szCs w:val="16"/>
                <w:highlight w:val="none"/>
                <w:shd w:val="clear" w:color="auto" w:fill="auto"/>
              </w:rPr>
            </w:pPr>
          </w:p>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G</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大学语文</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left"/>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9999991641</w:t>
            </w:r>
          </w:p>
          <w:p>
            <w:pPr>
              <w:widowControl/>
              <w:shd w:val="clear"/>
              <w:spacing w:line="240" w:lineRule="exact"/>
              <w:jc w:val="center"/>
              <w:rPr>
                <w:rFonts w:ascii="宋体" w:hAnsi="宋体" w:eastAsia="宋体" w:cs="宋体"/>
                <w:sz w:val="16"/>
                <w:szCs w:val="16"/>
                <w:highlight w:val="none"/>
                <w:shd w:val="clear" w:color="auto" w:fill="auto"/>
              </w:rPr>
            </w:pP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2*16</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t>
            </w:r>
          </w:p>
        </w:tc>
      </w:tr>
      <w:tr>
        <w:tblPrEx>
          <w:tblCellMar>
            <w:top w:w="0" w:type="dxa"/>
            <w:left w:w="0" w:type="dxa"/>
            <w:bottom w:w="0" w:type="dxa"/>
            <w:right w:w="0" w:type="dxa"/>
          </w:tblCellMar>
        </w:tblPrEx>
        <w:trPr>
          <w:trHeight w:val="36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803" w:type="dxa"/>
            <w:gridSpan w:val="2"/>
            <w:vMerge w:val="continue"/>
            <w:tcBorders>
              <w:left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G</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大学数学</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left"/>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9999991642</w:t>
            </w:r>
          </w:p>
          <w:p>
            <w:pPr>
              <w:widowControl/>
              <w:shd w:val="clear"/>
              <w:spacing w:line="240" w:lineRule="exact"/>
              <w:jc w:val="center"/>
              <w:rPr>
                <w:rFonts w:ascii="宋体" w:hAnsi="宋体" w:eastAsia="宋体" w:cs="宋体"/>
                <w:sz w:val="16"/>
                <w:szCs w:val="16"/>
                <w:highlight w:val="none"/>
                <w:shd w:val="clear" w:color="auto" w:fill="auto"/>
              </w:rPr>
            </w:pP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2*16</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t>
            </w:r>
          </w:p>
        </w:tc>
      </w:tr>
      <w:tr>
        <w:tblPrEx>
          <w:tblCellMar>
            <w:top w:w="0" w:type="dxa"/>
            <w:left w:w="0" w:type="dxa"/>
            <w:bottom w:w="0" w:type="dxa"/>
            <w:right w:w="0" w:type="dxa"/>
          </w:tblCellMar>
        </w:tblPrEx>
        <w:trPr>
          <w:trHeight w:val="37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803" w:type="dxa"/>
            <w:gridSpan w:val="2"/>
            <w:vMerge w:val="continue"/>
            <w:tcBorders>
              <w:left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G</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中华优秀传统文化</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left"/>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9999991643</w:t>
            </w:r>
          </w:p>
          <w:p>
            <w:pPr>
              <w:widowControl/>
              <w:shd w:val="clear"/>
              <w:spacing w:line="240" w:lineRule="exact"/>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t>
            </w:r>
          </w:p>
        </w:tc>
      </w:tr>
      <w:tr>
        <w:tblPrEx>
          <w:tblCellMar>
            <w:top w:w="0" w:type="dxa"/>
            <w:left w:w="0" w:type="dxa"/>
            <w:bottom w:w="0" w:type="dxa"/>
            <w:right w:w="0" w:type="dxa"/>
          </w:tblCellMar>
        </w:tblPrEx>
        <w:trPr>
          <w:trHeight w:val="53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803" w:type="dxa"/>
            <w:gridSpan w:val="2"/>
            <w:vMerge w:val="continue"/>
            <w:tcBorders>
              <w:left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G</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演讲与口才</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left"/>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9999991640</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803" w:type="dxa"/>
            <w:gridSpan w:val="2"/>
            <w:vMerge w:val="continue"/>
            <w:tcBorders>
              <w:left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G</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5</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大学美育</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left"/>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9999991644</w:t>
            </w:r>
          </w:p>
          <w:p>
            <w:pPr>
              <w:widowControl/>
              <w:shd w:val="clear"/>
              <w:spacing w:line="240" w:lineRule="exact"/>
              <w:jc w:val="center"/>
              <w:rPr>
                <w:rFonts w:ascii="宋体" w:hAnsi="宋体" w:eastAsia="宋体" w:cs="宋体"/>
                <w:sz w:val="16"/>
                <w:szCs w:val="16"/>
                <w:highlight w:val="none"/>
                <w:shd w:val="clear" w:color="auto" w:fill="auto"/>
              </w:rPr>
            </w:pP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803" w:type="dxa"/>
            <w:gridSpan w:val="2"/>
            <w:vMerge w:val="continue"/>
            <w:tcBorders>
              <w:left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G</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6</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商务礼仪</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left"/>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9999991645</w:t>
            </w:r>
          </w:p>
          <w:p>
            <w:pPr>
              <w:widowControl/>
              <w:shd w:val="clear"/>
              <w:spacing w:line="240" w:lineRule="exact"/>
              <w:jc w:val="center"/>
              <w:rPr>
                <w:rFonts w:ascii="宋体" w:hAnsi="宋体" w:eastAsia="宋体" w:cs="宋体"/>
                <w:sz w:val="16"/>
                <w:szCs w:val="16"/>
                <w:highlight w:val="none"/>
                <w:shd w:val="clear" w:color="auto" w:fill="auto"/>
              </w:rPr>
            </w:pP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803" w:type="dxa"/>
            <w:gridSpan w:val="2"/>
            <w:vMerge w:val="continue"/>
            <w:tcBorders>
              <w:left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7</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艺术赏析</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left"/>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9999991646</w:t>
            </w:r>
          </w:p>
          <w:p>
            <w:pPr>
              <w:widowControl/>
              <w:shd w:val="clear"/>
              <w:spacing w:line="240" w:lineRule="exact"/>
              <w:jc w:val="center"/>
              <w:rPr>
                <w:rFonts w:ascii="宋体" w:hAnsi="宋体" w:eastAsia="宋体" w:cs="宋体"/>
                <w:sz w:val="16"/>
                <w:szCs w:val="16"/>
                <w:highlight w:val="none"/>
                <w:shd w:val="clear" w:color="auto" w:fill="auto"/>
              </w:rPr>
            </w:pP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2*16</w:t>
            </w: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803" w:type="dxa"/>
            <w:gridSpan w:val="2"/>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8</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大学生职业素养提升</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left"/>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9999991647</w:t>
            </w:r>
          </w:p>
          <w:p>
            <w:pPr>
              <w:widowControl/>
              <w:shd w:val="clear"/>
              <w:spacing w:line="240" w:lineRule="exact"/>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7</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28</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2*16</w:t>
            </w: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101"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rPr>
              <w:t>小计4门</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8</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112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r>
      <w:tr>
        <w:tblPrEx>
          <w:tblCellMar>
            <w:top w:w="0" w:type="dxa"/>
            <w:left w:w="0" w:type="dxa"/>
            <w:bottom w:w="0" w:type="dxa"/>
            <w:right w:w="0" w:type="dxa"/>
          </w:tblCellMar>
        </w:tblPrEx>
        <w:trPr>
          <w:trHeight w:val="285" w:hRule="exact"/>
          <w:jc w:val="center"/>
        </w:trPr>
        <w:tc>
          <w:tcPr>
            <w:tcW w:w="58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专业课</w:t>
            </w:r>
          </w:p>
        </w:tc>
        <w:tc>
          <w:tcPr>
            <w:tcW w:w="1368" w:type="dxa"/>
            <w:gridSpan w:val="3"/>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专业基础课</w:t>
            </w: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市场营销</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07059</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经济基础</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07279</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left"/>
              <w:rPr>
                <w:rFonts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基础会计</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07054</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管理基础</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07339</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32</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5</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电子商务基础</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07278</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24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1</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6</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电子商务物流</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07030</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24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2</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7</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新媒体营销</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07377</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24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2</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8</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市场调研与分析</w:t>
            </w:r>
          </w:p>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07091</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24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3</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9</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网页制作</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07296</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3</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10</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default" w:ascii="宋体" w:hAnsi="宋体" w:eastAsia="宋体" w:cs="宋体"/>
                <w:kern w:val="0"/>
                <w:sz w:val="16"/>
                <w:szCs w:val="16"/>
                <w:highlight w:val="none"/>
                <w:shd w:val="clear" w:color="auto" w:fill="auto"/>
                <w:lang w:val="en-US" w:bidi="ar"/>
              </w:rPr>
            </w:pPr>
            <w:r>
              <w:rPr>
                <w:rFonts w:hint="eastAsia" w:ascii="宋体" w:hAnsi="宋体" w:eastAsia="宋体" w:cs="宋体"/>
                <w:kern w:val="0"/>
                <w:sz w:val="16"/>
                <w:szCs w:val="16"/>
                <w:highlight w:val="none"/>
                <w:shd w:val="clear" w:color="auto" w:fill="auto"/>
                <w:lang w:val="en-US" w:eastAsia="zh-CN" w:bidi="ar"/>
              </w:rPr>
              <w:t>跨境电子商务</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07219</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24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r>
      <w:tr>
        <w:tblPrEx>
          <w:tblCellMar>
            <w:top w:w="0" w:type="dxa"/>
            <w:left w:w="0" w:type="dxa"/>
            <w:bottom w:w="0" w:type="dxa"/>
            <w:right w:w="0" w:type="dxa"/>
          </w:tblCellMar>
        </w:tblPrEx>
        <w:trPr>
          <w:trHeight w:val="254"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11</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 xml:space="preserve">零售门店 </w:t>
            </w:r>
            <w:r>
              <w:rPr>
                <w:rFonts w:hint="default" w:ascii="宋体" w:hAnsi="宋体" w:eastAsia="宋体" w:cs="宋体"/>
                <w:kern w:val="0"/>
                <w:sz w:val="16"/>
                <w:szCs w:val="16"/>
                <w:highlight w:val="none"/>
                <w:shd w:val="clear" w:color="auto" w:fill="auto"/>
                <w:lang w:val="en-US" w:eastAsia="zh-CN" w:bidi="ar"/>
              </w:rPr>
              <w:t>O2O</w:t>
            </w:r>
            <w:r>
              <w:rPr>
                <w:rFonts w:hint="eastAsia" w:ascii="宋体" w:hAnsi="宋体" w:eastAsia="宋体" w:cs="宋体"/>
                <w:kern w:val="0"/>
                <w:sz w:val="16"/>
                <w:szCs w:val="16"/>
                <w:highlight w:val="none"/>
                <w:shd w:val="clear" w:color="auto" w:fill="auto"/>
                <w:lang w:val="en-US" w:eastAsia="zh-CN" w:bidi="ar"/>
              </w:rPr>
              <w:t>运营</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07328</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24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r>
      <w:tr>
        <w:tblPrEx>
          <w:tblCellMar>
            <w:top w:w="0" w:type="dxa"/>
            <w:left w:w="0" w:type="dxa"/>
            <w:bottom w:w="0" w:type="dxa"/>
            <w:right w:w="0" w:type="dxa"/>
          </w:tblCellMar>
        </w:tblPrEx>
        <w:trPr>
          <w:trHeight w:val="378"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12</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图形图像处理</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07321</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2</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专业核心课</w:t>
            </w: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13</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视频制作</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w:t>
            </w:r>
          </w:p>
        </w:tc>
      </w:tr>
      <w:tr>
        <w:tblPrEx>
          <w:tblCellMar>
            <w:top w:w="0" w:type="dxa"/>
            <w:left w:w="0" w:type="dxa"/>
            <w:bottom w:w="0" w:type="dxa"/>
            <w:right w:w="0" w:type="dxa"/>
          </w:tblCellMar>
        </w:tblPrEx>
        <w:trPr>
          <w:trHeight w:val="354"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left w:val="single" w:color="auto" w:sz="4" w:space="0"/>
              <w:right w:val="single" w:color="auto"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14</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直播电商</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07334</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default"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default"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r>
      <w:tr>
        <w:tblPrEx>
          <w:tblCellMar>
            <w:top w:w="0" w:type="dxa"/>
            <w:left w:w="0" w:type="dxa"/>
            <w:bottom w:w="0" w:type="dxa"/>
            <w:right w:w="0" w:type="dxa"/>
          </w:tblCellMar>
        </w:tblPrEx>
        <w:trPr>
          <w:trHeight w:val="354"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left w:val="single" w:color="auto" w:sz="4" w:space="0"/>
              <w:right w:val="single" w:color="auto"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15</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商品信息采集与处理</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07343</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2</w:t>
            </w:r>
          </w:p>
        </w:tc>
      </w:tr>
      <w:tr>
        <w:tblPrEx>
          <w:tblCellMar>
            <w:top w:w="0" w:type="dxa"/>
            <w:left w:w="0" w:type="dxa"/>
            <w:bottom w:w="0" w:type="dxa"/>
            <w:right w:w="0" w:type="dxa"/>
          </w:tblCellMar>
        </w:tblPrEx>
        <w:trPr>
          <w:trHeight w:val="433"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left w:val="single" w:color="auto" w:sz="4" w:space="0"/>
              <w:right w:val="single" w:color="auto"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16</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网店运营</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07133</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default"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default"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w:t>
            </w:r>
          </w:p>
        </w:tc>
      </w:tr>
      <w:tr>
        <w:tblPrEx>
          <w:tblCellMar>
            <w:top w:w="0" w:type="dxa"/>
            <w:left w:w="0" w:type="dxa"/>
            <w:bottom w:w="0" w:type="dxa"/>
            <w:right w:w="0" w:type="dxa"/>
          </w:tblCellMar>
        </w:tblPrEx>
        <w:trPr>
          <w:trHeight w:val="354"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left w:val="single" w:color="auto" w:sz="4" w:space="0"/>
              <w:right w:val="single" w:color="auto"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17</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default"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视觉营销设计</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07171</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w:t>
            </w:r>
          </w:p>
        </w:tc>
      </w:tr>
      <w:tr>
        <w:tblPrEx>
          <w:tblCellMar>
            <w:top w:w="0" w:type="dxa"/>
            <w:left w:w="0" w:type="dxa"/>
            <w:bottom w:w="0" w:type="dxa"/>
            <w:right w:w="0" w:type="dxa"/>
          </w:tblCellMar>
        </w:tblPrEx>
        <w:trPr>
          <w:trHeight w:val="354"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18</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商务数据分析</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07342</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34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val="en-US" w:eastAsia="zh-CN" w:bidi="ar"/>
              </w:rPr>
            </w:pPr>
            <w:r>
              <w:rPr>
                <w:rFonts w:hint="eastAsia" w:ascii="宋体" w:hAnsi="宋体" w:eastAsia="宋体" w:cs="宋体"/>
                <w:kern w:val="0"/>
                <w:sz w:val="16"/>
                <w:szCs w:val="16"/>
                <w:highlight w:val="none"/>
                <w:shd w:val="clear" w:color="auto" w:fill="auto"/>
                <w:lang w:val="en-US" w:eastAsia="zh-CN" w:bidi="ar"/>
              </w:rPr>
              <w:t>4</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6"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rPr>
              <w:t>小计18门</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72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1152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632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520</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243" w:type="dxa"/>
            <w:gridSpan w:val="19"/>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以下为专业拓展课，每学期任选1门，共8学分课程学习</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专业拓展课（8选4）</w:t>
            </w: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X</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商务谈判</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07297</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2*16</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X</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t>
            </w:r>
          </w:p>
        </w:tc>
        <w:tc>
          <w:tcPr>
            <w:tcW w:w="2451"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企业文化</w:t>
            </w:r>
          </w:p>
        </w:tc>
        <w:tc>
          <w:tcPr>
            <w:tcW w:w="1059"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07167</w:t>
            </w:r>
          </w:p>
        </w:tc>
        <w:tc>
          <w:tcPr>
            <w:tcW w:w="61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t>
            </w:r>
          </w:p>
        </w:tc>
      </w:tr>
      <w:tr>
        <w:tblPrEx>
          <w:tblCellMar>
            <w:top w:w="0" w:type="dxa"/>
            <w:left w:w="0" w:type="dxa"/>
            <w:bottom w:w="0" w:type="dxa"/>
            <w:right w:w="0" w:type="dxa"/>
          </w:tblCellMar>
        </w:tblPrEx>
        <w:trPr>
          <w:trHeight w:val="354"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X</w:t>
            </w:r>
          </w:p>
        </w:tc>
        <w:tc>
          <w:tcPr>
            <w:tcW w:w="412"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t>
            </w:r>
          </w:p>
        </w:tc>
        <w:tc>
          <w:tcPr>
            <w:tcW w:w="2451"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消费者行为分析</w:t>
            </w:r>
          </w:p>
        </w:tc>
        <w:tc>
          <w:tcPr>
            <w:tcW w:w="105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07069</w:t>
            </w:r>
          </w:p>
        </w:tc>
        <w:tc>
          <w:tcPr>
            <w:tcW w:w="61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32</w:t>
            </w:r>
          </w:p>
        </w:tc>
        <w:tc>
          <w:tcPr>
            <w:tcW w:w="614"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p>
            <w:pPr>
              <w:widowControl/>
              <w:shd w:val="clear"/>
              <w:spacing w:line="180" w:lineRule="exact"/>
              <w:jc w:val="center"/>
              <w:textAlignment w:val="center"/>
              <w:rPr>
                <w:rFonts w:ascii="宋体" w:hAnsi="宋体" w:eastAsia="宋体" w:cs="宋体"/>
                <w:sz w:val="16"/>
                <w:szCs w:val="16"/>
                <w:highlight w:val="none"/>
                <w:shd w:val="clear" w:color="auto" w:fill="auto"/>
              </w:rPr>
            </w:pPr>
          </w:p>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X</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c>
          <w:tcPr>
            <w:tcW w:w="2451"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统计基础</w:t>
            </w:r>
          </w:p>
        </w:tc>
        <w:tc>
          <w:tcPr>
            <w:tcW w:w="1059"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07340</w:t>
            </w:r>
          </w:p>
        </w:tc>
        <w:tc>
          <w:tcPr>
            <w:tcW w:w="61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2*16</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r>
      <w:tr>
        <w:tblPrEx>
          <w:tblCellMar>
            <w:top w:w="0" w:type="dxa"/>
            <w:left w:w="0" w:type="dxa"/>
            <w:bottom w:w="0" w:type="dxa"/>
            <w:right w:w="0" w:type="dxa"/>
          </w:tblCellMar>
        </w:tblPrEx>
        <w:trPr>
          <w:trHeight w:val="322"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X</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5</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电子商务法律法规</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07156</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2*16</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X</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6</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电子商务综合实训</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03159</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5" w:type="dxa"/>
            <w:tcBorders>
              <w:top w:val="nil"/>
              <w:left w:val="nil"/>
              <w:bottom w:val="nil"/>
              <w:right w:val="nil"/>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X</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7</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1+x网店运营推广实训</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07008</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nil"/>
              <w:left w:val="nil"/>
              <w:bottom w:val="nil"/>
              <w:right w:val="nil"/>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X</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8</w:t>
            </w:r>
          </w:p>
        </w:tc>
        <w:tc>
          <w:tcPr>
            <w:tcW w:w="2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hint="eastAsia"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val="en-US" w:eastAsia="zh-CN" w:bidi="ar"/>
              </w:rPr>
              <w:t>营销策划</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07122</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2*16</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r>
      <w:tr>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13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4298"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rPr>
              <w:t>小计4门</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8</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112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r>
      <w:tr>
        <w:tblPrEx>
          <w:tblCellMar>
            <w:top w:w="0" w:type="dxa"/>
            <w:left w:w="0" w:type="dxa"/>
            <w:bottom w:w="0" w:type="dxa"/>
            <w:right w:w="0" w:type="dxa"/>
          </w:tblCellMar>
        </w:tblPrEx>
        <w:trPr>
          <w:trHeight w:val="285" w:hRule="exact"/>
          <w:jc w:val="center"/>
        </w:trPr>
        <w:tc>
          <w:tcPr>
            <w:tcW w:w="195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t>
            </w:r>
          </w:p>
        </w:tc>
        <w:tc>
          <w:tcPr>
            <w:tcW w:w="351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课程、岗位集中实训</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2-4</w:t>
            </w:r>
          </w:p>
        </w:tc>
      </w:tr>
      <w:tr>
        <w:tblPrEx>
          <w:tblCellMar>
            <w:top w:w="0" w:type="dxa"/>
            <w:left w:w="0" w:type="dxa"/>
            <w:bottom w:w="0" w:type="dxa"/>
            <w:right w:w="0" w:type="dxa"/>
          </w:tblCellMar>
        </w:tblPrEx>
        <w:trPr>
          <w:trHeight w:val="285" w:hRule="exact"/>
          <w:jc w:val="center"/>
        </w:trPr>
        <w:tc>
          <w:tcPr>
            <w:tcW w:w="195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t>
            </w:r>
          </w:p>
        </w:tc>
        <w:tc>
          <w:tcPr>
            <w:tcW w:w="351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岗位实习</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28</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672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96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576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12W</w:t>
            </w: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16W</w:t>
            </w: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5、6</w:t>
            </w:r>
          </w:p>
        </w:tc>
      </w:tr>
      <w:tr>
        <w:tblPrEx>
          <w:tblCellMar>
            <w:top w:w="0" w:type="dxa"/>
            <w:left w:w="0" w:type="dxa"/>
            <w:bottom w:w="0" w:type="dxa"/>
            <w:right w:w="0" w:type="dxa"/>
          </w:tblCellMar>
        </w:tblPrEx>
        <w:trPr>
          <w:trHeight w:val="285" w:hRule="exact"/>
          <w:jc w:val="center"/>
        </w:trPr>
        <w:tc>
          <w:tcPr>
            <w:tcW w:w="195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t>
            </w:r>
          </w:p>
        </w:tc>
        <w:tc>
          <w:tcPr>
            <w:tcW w:w="351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岗位实习总结、招聘</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3W</w:t>
            </w: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5</w:t>
            </w:r>
          </w:p>
        </w:tc>
      </w:tr>
      <w:tr>
        <w:tblPrEx>
          <w:tblCellMar>
            <w:top w:w="0" w:type="dxa"/>
            <w:left w:w="0" w:type="dxa"/>
            <w:bottom w:w="0" w:type="dxa"/>
            <w:right w:w="0" w:type="dxa"/>
          </w:tblCellMar>
        </w:tblPrEx>
        <w:trPr>
          <w:trHeight w:val="285" w:hRule="exact"/>
          <w:jc w:val="center"/>
        </w:trPr>
        <w:tc>
          <w:tcPr>
            <w:tcW w:w="195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t>
            </w:r>
          </w:p>
        </w:tc>
        <w:tc>
          <w:tcPr>
            <w:tcW w:w="351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毕业设计及答辩</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4W</w:t>
            </w: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w:t>
            </w: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5、6</w:t>
            </w:r>
          </w:p>
        </w:tc>
      </w:tr>
      <w:tr>
        <w:tblPrEx>
          <w:tblCellMar>
            <w:top w:w="0" w:type="dxa"/>
            <w:left w:w="0" w:type="dxa"/>
            <w:bottom w:w="0" w:type="dxa"/>
            <w:right w:w="0" w:type="dxa"/>
          </w:tblCellMar>
        </w:tblPrEx>
        <w:trPr>
          <w:trHeight w:val="285" w:hRule="exact"/>
          <w:jc w:val="center"/>
        </w:trPr>
        <w:tc>
          <w:tcPr>
            <w:tcW w:w="1956" w:type="dxa"/>
            <w:gridSpan w:val="4"/>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其它</w:t>
            </w: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5</w:t>
            </w:r>
          </w:p>
        </w:tc>
        <w:tc>
          <w:tcPr>
            <w:tcW w:w="351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毕业教育</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2W</w:t>
            </w: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6</w:t>
            </w:r>
          </w:p>
        </w:tc>
      </w:tr>
      <w:tr>
        <w:tblPrEx>
          <w:tblCellMar>
            <w:top w:w="0" w:type="dxa"/>
            <w:left w:w="0" w:type="dxa"/>
            <w:bottom w:w="0" w:type="dxa"/>
            <w:right w:w="0" w:type="dxa"/>
          </w:tblCellMar>
        </w:tblPrEx>
        <w:trPr>
          <w:trHeight w:val="285" w:hRule="exact"/>
          <w:jc w:val="center"/>
        </w:trPr>
        <w:tc>
          <w:tcPr>
            <w:tcW w:w="1956" w:type="dxa"/>
            <w:gridSpan w:val="4"/>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textAlignment w:val="center"/>
              <w:rPr>
                <w:rFonts w:ascii="宋体" w:hAnsi="宋体" w:eastAsia="宋体" w:cs="宋体"/>
                <w:kern w:val="0"/>
                <w:sz w:val="16"/>
                <w:szCs w:val="16"/>
                <w:highlight w:val="none"/>
                <w:shd w:val="clear" w:color="auto" w:fill="auto"/>
                <w:lang w:bidi="ar"/>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6</w:t>
            </w:r>
          </w:p>
        </w:tc>
        <w:tc>
          <w:tcPr>
            <w:tcW w:w="351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考试周数</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1-4</w:t>
            </w:r>
          </w:p>
        </w:tc>
      </w:tr>
      <w:tr>
        <w:tblPrEx>
          <w:tblCellMar>
            <w:top w:w="0" w:type="dxa"/>
            <w:left w:w="0" w:type="dxa"/>
            <w:bottom w:w="0" w:type="dxa"/>
            <w:right w:w="0" w:type="dxa"/>
          </w:tblCellMar>
        </w:tblPrEx>
        <w:trPr>
          <w:trHeight w:val="285" w:hRule="exact"/>
          <w:jc w:val="center"/>
        </w:trPr>
        <w:tc>
          <w:tcPr>
            <w:tcW w:w="1956" w:type="dxa"/>
            <w:gridSpan w:val="4"/>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B</w:t>
            </w:r>
          </w:p>
        </w:tc>
        <w:tc>
          <w:tcPr>
            <w:tcW w:w="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7</w:t>
            </w:r>
          </w:p>
        </w:tc>
        <w:tc>
          <w:tcPr>
            <w:tcW w:w="351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技能等级鉴定周</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hd w:val="clear"/>
              <w:jc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w:t>
            </w: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1W</w:t>
            </w: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2-6</w:t>
            </w:r>
          </w:p>
        </w:tc>
      </w:tr>
      <w:tr>
        <w:tblPrEx>
          <w:tblCellMar>
            <w:top w:w="0" w:type="dxa"/>
            <w:left w:w="0" w:type="dxa"/>
            <w:bottom w:w="0" w:type="dxa"/>
            <w:right w:w="0" w:type="dxa"/>
          </w:tblCellMar>
        </w:tblPrEx>
        <w:trPr>
          <w:trHeight w:val="285" w:hRule="exact"/>
          <w:jc w:val="center"/>
        </w:trPr>
        <w:tc>
          <w:tcPr>
            <w:tcW w:w="1956" w:type="dxa"/>
            <w:gridSpan w:val="4"/>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4298"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kern w:val="0"/>
                <w:sz w:val="16"/>
                <w:szCs w:val="16"/>
                <w:highlight w:val="none"/>
                <w:shd w:val="clear" w:color="auto" w:fill="auto"/>
                <w:lang w:bidi="ar"/>
              </w:rPr>
              <w:t>小计</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28</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672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96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sz w:val="16"/>
                <w:szCs w:val="16"/>
                <w:highlight w:val="none"/>
                <w:shd w:val="clear" w:color="auto" w:fill="auto"/>
              </w:rPr>
              <w:t>576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spacing w:line="180" w:lineRule="exact"/>
              <w:jc w:val="center"/>
              <w:rPr>
                <w:rFonts w:ascii="宋体" w:hAnsi="宋体" w:eastAsia="宋体" w:cs="宋体"/>
                <w:sz w:val="16"/>
                <w:szCs w:val="16"/>
                <w:highlight w:val="none"/>
                <w:shd w:val="clear" w:color="auto" w:fill="auto"/>
              </w:rPr>
            </w:pPr>
          </w:p>
        </w:tc>
      </w:tr>
      <w:tr>
        <w:tblPrEx>
          <w:tblCellMar>
            <w:top w:w="0" w:type="dxa"/>
            <w:left w:w="0" w:type="dxa"/>
            <w:bottom w:w="0" w:type="dxa"/>
            <w:right w:w="0" w:type="dxa"/>
          </w:tblCellMar>
        </w:tblPrEx>
        <w:trPr>
          <w:trHeight w:val="285" w:hRule="exact"/>
          <w:jc w:val="center"/>
        </w:trPr>
        <w:tc>
          <w:tcPr>
            <w:tcW w:w="6254"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总计（所有课程）</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sz w:val="16"/>
                <w:szCs w:val="16"/>
                <w:highlight w:val="none"/>
                <w:shd w:val="clear" w:color="auto" w:fill="auto"/>
                <w:lang w:val="en-US" w:eastAsia="zh-CN"/>
              </w:rPr>
            </w:pPr>
            <w:r>
              <w:rPr>
                <w:rFonts w:hint="eastAsia" w:ascii="宋体" w:hAnsi="宋体" w:eastAsia="宋体" w:cs="宋体"/>
                <w:i w:val="0"/>
                <w:iCs w:val="0"/>
                <w:color w:val="000000"/>
                <w:kern w:val="0"/>
                <w:sz w:val="16"/>
                <w:szCs w:val="16"/>
                <w:u w:val="none"/>
                <w:lang w:val="en-US" w:eastAsia="zh-CN" w:bidi="ar"/>
              </w:rPr>
              <w:t>149</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sz w:val="16"/>
                <w:szCs w:val="16"/>
                <w:highlight w:val="none"/>
                <w:shd w:val="clear" w:color="auto" w:fill="auto"/>
                <w:lang w:val="en-US" w:eastAsia="zh-CN"/>
              </w:rPr>
            </w:pPr>
            <w:r>
              <w:rPr>
                <w:rFonts w:hint="eastAsia" w:ascii="宋体" w:hAnsi="宋体" w:eastAsia="宋体" w:cs="宋体"/>
                <w:i w:val="0"/>
                <w:iCs w:val="0"/>
                <w:color w:val="000000"/>
                <w:kern w:val="0"/>
                <w:sz w:val="16"/>
                <w:szCs w:val="16"/>
                <w:u w:val="none"/>
                <w:lang w:val="en-US" w:eastAsia="zh-CN" w:bidi="ar"/>
              </w:rPr>
              <w:t>2650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sz w:val="16"/>
                <w:szCs w:val="16"/>
                <w:highlight w:val="none"/>
                <w:shd w:val="clear" w:color="auto" w:fill="auto"/>
                <w:lang w:val="en-US" w:eastAsia="zh-CN"/>
              </w:rPr>
            </w:pPr>
            <w:r>
              <w:rPr>
                <w:rFonts w:hint="eastAsia" w:ascii="宋体" w:hAnsi="宋体" w:eastAsia="宋体" w:cs="宋体"/>
                <w:i w:val="0"/>
                <w:iCs w:val="0"/>
                <w:color w:val="000000"/>
                <w:kern w:val="0"/>
                <w:sz w:val="16"/>
                <w:szCs w:val="16"/>
                <w:u w:val="none"/>
                <w:lang w:val="en-US" w:eastAsia="zh-CN" w:bidi="ar"/>
              </w:rPr>
              <w:t>1224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sz w:val="16"/>
                <w:szCs w:val="16"/>
                <w:highlight w:val="none"/>
                <w:shd w:val="clear" w:color="auto" w:fill="auto"/>
                <w:lang w:val="en-US" w:eastAsia="zh-CN"/>
              </w:rPr>
            </w:pPr>
            <w:r>
              <w:rPr>
                <w:rFonts w:hint="eastAsia" w:ascii="宋体" w:hAnsi="宋体" w:eastAsia="宋体" w:cs="宋体"/>
                <w:i w:val="0"/>
                <w:iCs w:val="0"/>
                <w:color w:val="000000"/>
                <w:kern w:val="0"/>
                <w:sz w:val="16"/>
                <w:szCs w:val="16"/>
                <w:u w:val="none"/>
                <w:lang w:val="en-US" w:eastAsia="zh-CN" w:bidi="ar"/>
              </w:rPr>
              <w:t>1426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16"/>
                <w:szCs w:val="16"/>
                <w:highlight w:val="none"/>
                <w:shd w:val="clear" w:color="auto" w:fill="auto"/>
                <w:lang w:eastAsia="zh-CN"/>
              </w:rPr>
            </w:pPr>
            <w:r>
              <w:rPr>
                <w:rFonts w:hint="eastAsia" w:ascii="宋体" w:hAnsi="宋体" w:eastAsia="宋体" w:cs="宋体"/>
                <w:i w:val="0"/>
                <w:iCs w:val="0"/>
                <w:color w:val="000000"/>
                <w:kern w:val="0"/>
                <w:sz w:val="16"/>
                <w:szCs w:val="16"/>
                <w:u w:val="none"/>
                <w:lang w:val="en-US" w:eastAsia="zh-CN" w:bidi="ar"/>
              </w:rPr>
              <w:t>25</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22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6"/>
                <w:szCs w:val="16"/>
                <w:highlight w:val="none"/>
                <w:shd w:val="clear" w:color="auto" w:fill="auto"/>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6"/>
                <w:szCs w:val="16"/>
                <w:highlight w:val="none"/>
                <w:shd w:val="clear" w:color="auto" w:fill="auto"/>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6"/>
                <w:szCs w:val="16"/>
                <w:highlight w:val="none"/>
                <w:shd w:val="clear" w:color="auto" w:fill="auto"/>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6"/>
                <w:szCs w:val="16"/>
                <w:highlight w:val="none"/>
                <w:shd w:val="clear" w:color="auto" w:fill="auto"/>
              </w:rPr>
            </w:pPr>
          </w:p>
        </w:tc>
      </w:tr>
      <w:tr>
        <w:tblPrEx>
          <w:tblCellMar>
            <w:top w:w="0" w:type="dxa"/>
            <w:left w:w="0" w:type="dxa"/>
            <w:bottom w:w="0" w:type="dxa"/>
            <w:right w:w="0" w:type="dxa"/>
          </w:tblCellMar>
        </w:tblPrEx>
        <w:trPr>
          <w:trHeight w:val="476" w:hRule="exact"/>
          <w:jc w:val="center"/>
        </w:trPr>
        <w:tc>
          <w:tcPr>
            <w:tcW w:w="122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开设课程总数</w:t>
            </w:r>
          </w:p>
        </w:tc>
        <w:tc>
          <w:tcPr>
            <w:tcW w:w="503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42</w:t>
            </w:r>
          </w:p>
        </w:tc>
        <w:tc>
          <w:tcPr>
            <w:tcW w:w="12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课程考核</w:t>
            </w:r>
          </w:p>
        </w:tc>
        <w:tc>
          <w:tcPr>
            <w:tcW w:w="122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27</w:t>
            </w:r>
          </w:p>
        </w:tc>
        <w:tc>
          <w:tcPr>
            <w:tcW w:w="3874"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考试课程数</w:t>
            </w:r>
          </w:p>
        </w:tc>
        <w:tc>
          <w:tcPr>
            <w:tcW w:w="121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sz w:val="16"/>
                <w:szCs w:val="16"/>
                <w:highlight w:val="none"/>
                <w:shd w:val="clear" w:color="auto" w:fill="auto"/>
              </w:rPr>
            </w:pPr>
            <w:r>
              <w:rPr>
                <w:rFonts w:hint="eastAsia" w:ascii="宋体" w:hAnsi="宋体" w:eastAsia="宋体" w:cs="宋体"/>
                <w:i w:val="0"/>
                <w:iCs w:val="0"/>
                <w:color w:val="000000"/>
                <w:kern w:val="0"/>
                <w:sz w:val="16"/>
                <w:szCs w:val="16"/>
                <w:u w:val="none"/>
                <w:lang w:val="en-US" w:eastAsia="zh-CN" w:bidi="ar"/>
              </w:rPr>
              <w:t>15</w:t>
            </w:r>
          </w:p>
        </w:tc>
      </w:tr>
      <w:tr>
        <w:tblPrEx>
          <w:tblCellMar>
            <w:top w:w="0" w:type="dxa"/>
            <w:left w:w="0" w:type="dxa"/>
            <w:bottom w:w="0" w:type="dxa"/>
            <w:right w:w="0" w:type="dxa"/>
          </w:tblCellMar>
        </w:tblPrEx>
        <w:trPr>
          <w:trHeight w:val="3328" w:hRule="exact"/>
          <w:jc w:val="center"/>
        </w:trPr>
        <w:tc>
          <w:tcPr>
            <w:tcW w:w="13831" w:type="dxa"/>
            <w:gridSpan w:val="20"/>
            <w:tcBorders>
              <w:top w:val="single" w:color="000000" w:sz="4" w:space="0"/>
              <w:left w:val="nil"/>
              <w:bottom w:val="nil"/>
              <w:right w:val="nil"/>
            </w:tcBorders>
            <w:tcMar>
              <w:top w:w="12" w:type="dxa"/>
              <w:left w:w="12" w:type="dxa"/>
              <w:right w:w="12" w:type="dxa"/>
            </w:tcMar>
            <w:vAlign w:val="center"/>
          </w:tcPr>
          <w:p>
            <w:pPr>
              <w:widowControl/>
              <w:shd w:val="clear"/>
              <w:jc w:val="left"/>
              <w:textAlignment w:val="center"/>
              <w:rPr>
                <w:rFonts w:ascii="宋体" w:hAnsi="宋体" w:eastAsia="宋体" w:cs="宋体"/>
                <w:kern w:val="0"/>
                <w:sz w:val="16"/>
                <w:szCs w:val="16"/>
                <w:highlight w:val="none"/>
                <w:shd w:val="clear" w:color="auto" w:fill="auto"/>
                <w:lang w:bidi="ar"/>
              </w:rPr>
            </w:pPr>
            <w:bookmarkStart w:id="1" w:name="_GoBack"/>
            <w:bookmarkEnd w:id="1"/>
            <w:r>
              <w:rPr>
                <w:rFonts w:hint="eastAsia" w:ascii="宋体" w:hAnsi="宋体" w:eastAsia="宋体" w:cs="宋体"/>
                <w:kern w:val="0"/>
                <w:sz w:val="16"/>
                <w:szCs w:val="16"/>
                <w:highlight w:val="none"/>
                <w:shd w:val="clear" w:color="auto" w:fill="auto"/>
                <w:lang w:bidi="ar"/>
              </w:rPr>
              <w:t>备注：</w:t>
            </w:r>
          </w:p>
          <w:p>
            <w:pPr>
              <w:widowControl/>
              <w:shd w:val="clear"/>
              <w:jc w:val="left"/>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1.课程性质：必修课用B表示，限选课用X表示，公选课用G表示。</w:t>
            </w:r>
          </w:p>
          <w:p>
            <w:pPr>
              <w:widowControl/>
              <w:shd w:val="clear"/>
              <w:jc w:val="left"/>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2.考核方式：统一叫课程考核，各系要加强课程考核的改革，强调技能考核、过程考核等实施过程评价。</w:t>
            </w:r>
          </w:p>
          <w:p>
            <w:pPr>
              <w:widowControl/>
              <w:shd w:val="clear"/>
              <w:jc w:val="left"/>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3.职业发展与就业指导课，安排在要求学期的课外进行。</w:t>
            </w:r>
          </w:p>
          <w:p>
            <w:pPr>
              <w:widowControl/>
              <w:shd w:val="clear"/>
              <w:jc w:val="left"/>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4.学生军训、岗位实践教学、岗位实习（含毕业设计）、毕业教育每周按24学时计算，24学时算1学分。</w:t>
            </w:r>
          </w:p>
          <w:p>
            <w:pPr>
              <w:widowControl/>
              <w:shd w:val="clear"/>
              <w:jc w:val="left"/>
              <w:textAlignment w:val="center"/>
              <w:rPr>
                <w:rFonts w:ascii="宋体" w:hAnsi="宋体" w:eastAsia="宋体" w:cs="宋体"/>
                <w:kern w:val="0"/>
                <w:sz w:val="16"/>
                <w:szCs w:val="16"/>
                <w:highlight w:val="none"/>
                <w:shd w:val="clear" w:color="auto" w:fill="auto"/>
                <w:lang w:bidi="ar"/>
              </w:rPr>
            </w:pPr>
            <w:r>
              <w:rPr>
                <w:rFonts w:hint="eastAsia" w:ascii="宋体" w:hAnsi="宋体" w:eastAsia="宋体" w:cs="宋体"/>
                <w:kern w:val="0"/>
                <w:sz w:val="16"/>
                <w:szCs w:val="16"/>
                <w:highlight w:val="none"/>
                <w:shd w:val="clear" w:color="auto" w:fill="auto"/>
                <w:lang w:bidi="ar"/>
              </w:rPr>
              <w:t>5.按周进行的课程，周学时数“X*Y”中的X为周学时，Y为教学周数。</w:t>
            </w:r>
          </w:p>
          <w:p>
            <w:pPr>
              <w:shd w:val="clear"/>
              <w:rPr>
                <w:rFonts w:ascii="宋体" w:hAnsi="宋体" w:eastAsia="宋体" w:cs="宋体"/>
                <w:sz w:val="16"/>
                <w:szCs w:val="16"/>
                <w:highlight w:val="none"/>
                <w:shd w:val="clear" w:color="auto" w:fill="auto"/>
              </w:rPr>
            </w:pPr>
          </w:p>
        </w:tc>
      </w:tr>
    </w:tbl>
    <w:p>
      <w:pPr>
        <w:shd w:val="clear"/>
        <w:adjustRightInd w:val="0"/>
        <w:snapToGrid w:val="0"/>
        <w:spacing w:line="360" w:lineRule="auto"/>
        <w:rPr>
          <w:highlight w:val="none"/>
          <w:shd w:val="clear" w:color="auto" w:fill="auto"/>
        </w:rPr>
        <w:sectPr>
          <w:pgSz w:w="16838" w:h="11906" w:orient="landscape"/>
          <w:pgMar w:top="1417" w:right="1440" w:bottom="1800" w:left="1440" w:header="851" w:footer="992" w:gutter="0"/>
          <w:cols w:space="425" w:num="1"/>
          <w:docGrid w:type="lines" w:linePitch="312" w:charSpace="0"/>
        </w:sectPr>
      </w:pPr>
    </w:p>
    <w:p>
      <w:pPr>
        <w:shd w:val="clear"/>
        <w:spacing w:line="360" w:lineRule="auto"/>
        <w:jc w:val="left"/>
        <w:rPr>
          <w:rFonts w:ascii="仿宋" w:hAnsi="仿宋" w:eastAsia="仿宋"/>
          <w:sz w:val="28"/>
          <w:szCs w:val="28"/>
          <w:highlight w:val="none"/>
          <w:shd w:val="clear" w:color="auto" w:fill="auto"/>
        </w:rPr>
      </w:pPr>
      <w:r>
        <w:rPr>
          <w:rFonts w:hint="eastAsia" w:ascii="仿宋" w:hAnsi="仿宋" w:eastAsia="仿宋"/>
          <w:sz w:val="28"/>
          <w:szCs w:val="28"/>
          <w:highlight w:val="none"/>
          <w:shd w:val="clear" w:color="auto" w:fill="auto"/>
        </w:rPr>
        <w:t xml:space="preserve"> 附录2：变更审批表</w:t>
      </w:r>
    </w:p>
    <w:p>
      <w:pPr>
        <w:shd w:val="clear"/>
        <w:spacing w:line="360" w:lineRule="auto"/>
        <w:jc w:val="center"/>
        <w:rPr>
          <w:rFonts w:ascii="仿宋" w:hAnsi="仿宋" w:eastAsia="仿宋"/>
          <w:szCs w:val="21"/>
          <w:highlight w:val="none"/>
          <w:shd w:val="clear" w:color="auto" w:fill="auto"/>
        </w:rPr>
      </w:pPr>
      <w:r>
        <w:rPr>
          <w:rFonts w:hint="eastAsia" w:ascii="仿宋" w:hAnsi="仿宋" w:eastAsia="仿宋"/>
          <w:sz w:val="28"/>
          <w:szCs w:val="28"/>
          <w:highlight w:val="none"/>
          <w:shd w:val="clear" w:color="auto" w:fill="auto"/>
        </w:rPr>
        <w:t>教学进程变更审批表</w:t>
      </w:r>
    </w:p>
    <w:p>
      <w:pPr>
        <w:shd w:val="clear"/>
        <w:spacing w:line="360" w:lineRule="auto"/>
        <w:jc w:val="left"/>
        <w:rPr>
          <w:rFonts w:ascii="仿宋" w:hAnsi="仿宋" w:eastAsia="仿宋"/>
          <w:sz w:val="28"/>
          <w:szCs w:val="28"/>
          <w:highlight w:val="none"/>
          <w:shd w:val="clear" w:color="auto" w:fill="auto"/>
        </w:rPr>
      </w:pPr>
      <w:r>
        <w:rPr>
          <w:rFonts w:hint="eastAsia" w:ascii="仿宋" w:hAnsi="仿宋" w:eastAsia="仿宋"/>
          <w:sz w:val="28"/>
          <w:szCs w:val="28"/>
          <w:highlight w:val="none"/>
          <w:shd w:val="clear" w:color="auto" w:fill="auto"/>
        </w:rPr>
        <w:t>系部：              填报日期：</w:t>
      </w:r>
    </w:p>
    <w:tbl>
      <w:tblPr>
        <w:tblStyle w:val="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989"/>
        <w:gridCol w:w="1516"/>
        <w:gridCol w:w="1459"/>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课程名称</w:t>
            </w:r>
          </w:p>
        </w:tc>
        <w:tc>
          <w:tcPr>
            <w:tcW w:w="2975"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年级</w:t>
            </w:r>
          </w:p>
        </w:tc>
        <w:tc>
          <w:tcPr>
            <w:tcW w:w="2978"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tc>
        <w:tc>
          <w:tcPr>
            <w:tcW w:w="2975"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tc>
        <w:tc>
          <w:tcPr>
            <w:tcW w:w="2978"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tc>
        <w:tc>
          <w:tcPr>
            <w:tcW w:w="2975"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tc>
        <w:tc>
          <w:tcPr>
            <w:tcW w:w="2978"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tc>
        <w:tc>
          <w:tcPr>
            <w:tcW w:w="2975"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tc>
        <w:tc>
          <w:tcPr>
            <w:tcW w:w="2978"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493" w:type="dxa"/>
            <w:gridSpan w:val="3"/>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原计划内容、进程</w:t>
            </w:r>
          </w:p>
        </w:tc>
        <w:tc>
          <w:tcPr>
            <w:tcW w:w="4438"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变动后内容进程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93" w:type="dxa"/>
            <w:gridSpan w:val="3"/>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p>
            <w:pPr>
              <w:shd w:val="clear"/>
              <w:spacing w:line="280" w:lineRule="exact"/>
              <w:jc w:val="left"/>
              <w:rPr>
                <w:rFonts w:ascii="仿宋" w:hAnsi="仿宋" w:eastAsia="仿宋"/>
                <w:sz w:val="24"/>
                <w:highlight w:val="none"/>
                <w:shd w:val="clear" w:color="auto" w:fill="auto"/>
              </w:rPr>
            </w:pPr>
          </w:p>
          <w:p>
            <w:pPr>
              <w:shd w:val="clear"/>
              <w:spacing w:line="280" w:lineRule="exact"/>
              <w:jc w:val="left"/>
              <w:rPr>
                <w:rFonts w:ascii="仿宋" w:hAnsi="仿宋" w:eastAsia="仿宋"/>
                <w:sz w:val="24"/>
                <w:highlight w:val="none"/>
                <w:shd w:val="clear" w:color="auto" w:fill="auto"/>
              </w:rPr>
            </w:pPr>
          </w:p>
          <w:p>
            <w:pPr>
              <w:shd w:val="clear"/>
              <w:spacing w:line="280" w:lineRule="exact"/>
              <w:jc w:val="left"/>
              <w:rPr>
                <w:rFonts w:ascii="仿宋" w:hAnsi="仿宋" w:eastAsia="仿宋"/>
                <w:sz w:val="24"/>
                <w:highlight w:val="none"/>
                <w:shd w:val="clear" w:color="auto" w:fill="auto"/>
              </w:rPr>
            </w:pPr>
          </w:p>
        </w:tc>
        <w:tc>
          <w:tcPr>
            <w:tcW w:w="4438"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88"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变动理由</w:t>
            </w:r>
          </w:p>
        </w:tc>
        <w:tc>
          <w:tcPr>
            <w:tcW w:w="6943" w:type="dxa"/>
            <w:gridSpan w:val="4"/>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p>
            <w:pPr>
              <w:shd w:val="clear"/>
              <w:spacing w:line="280" w:lineRule="exact"/>
              <w:jc w:val="left"/>
              <w:rPr>
                <w:rFonts w:ascii="仿宋" w:hAnsi="仿宋" w:eastAsia="仿宋"/>
                <w:sz w:val="24"/>
                <w:highlight w:val="none"/>
                <w:shd w:val="clear" w:color="auto" w:fill="auto"/>
              </w:rPr>
            </w:pPr>
          </w:p>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教研室主任：</w:t>
            </w:r>
          </w:p>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8"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教学系意见</w:t>
            </w:r>
          </w:p>
        </w:tc>
        <w:tc>
          <w:tcPr>
            <w:tcW w:w="6943" w:type="dxa"/>
            <w:gridSpan w:val="4"/>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p>
            <w:pPr>
              <w:shd w:val="clear"/>
              <w:spacing w:line="280" w:lineRule="exact"/>
              <w:jc w:val="left"/>
              <w:rPr>
                <w:rFonts w:ascii="仿宋" w:hAnsi="仿宋" w:eastAsia="仿宋"/>
                <w:sz w:val="24"/>
                <w:highlight w:val="none"/>
                <w:shd w:val="clear" w:color="auto" w:fill="auto"/>
              </w:rPr>
            </w:pPr>
          </w:p>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　　　　　　　　负责人（公章）：</w:t>
            </w:r>
          </w:p>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8"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教务处意见</w:t>
            </w:r>
          </w:p>
        </w:tc>
        <w:tc>
          <w:tcPr>
            <w:tcW w:w="6943" w:type="dxa"/>
            <w:gridSpan w:val="4"/>
            <w:tcBorders>
              <w:top w:val="single" w:color="auto" w:sz="4" w:space="0"/>
              <w:left w:val="single" w:color="auto" w:sz="4" w:space="0"/>
              <w:bottom w:val="single" w:color="auto" w:sz="4" w:space="0"/>
              <w:right w:val="single" w:color="auto" w:sz="4" w:space="0"/>
            </w:tcBorders>
            <w:vAlign w:val="center"/>
          </w:tcPr>
          <w:p>
            <w:pPr>
              <w:shd w:val="clear"/>
              <w:spacing w:line="280" w:lineRule="exact"/>
              <w:jc w:val="left"/>
              <w:rPr>
                <w:rFonts w:ascii="仿宋" w:hAnsi="仿宋" w:eastAsia="仿宋"/>
                <w:sz w:val="24"/>
                <w:highlight w:val="none"/>
                <w:shd w:val="clear" w:color="auto" w:fill="auto"/>
              </w:rPr>
            </w:pPr>
          </w:p>
          <w:p>
            <w:pPr>
              <w:shd w:val="clear"/>
              <w:spacing w:line="280" w:lineRule="exact"/>
              <w:jc w:val="left"/>
              <w:rPr>
                <w:rFonts w:ascii="仿宋" w:hAnsi="仿宋" w:eastAsia="仿宋"/>
                <w:sz w:val="24"/>
                <w:highlight w:val="none"/>
                <w:shd w:val="clear" w:color="auto" w:fill="auto"/>
              </w:rPr>
            </w:pPr>
          </w:p>
          <w:p>
            <w:pPr>
              <w:shd w:val="clear"/>
              <w:spacing w:line="280" w:lineRule="exact"/>
              <w:jc w:val="left"/>
              <w:rPr>
                <w:rFonts w:ascii="仿宋" w:hAnsi="仿宋" w:eastAsia="仿宋"/>
                <w:sz w:val="24"/>
                <w:highlight w:val="none"/>
                <w:shd w:val="clear" w:color="auto" w:fill="auto"/>
              </w:rPr>
            </w:pPr>
          </w:p>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　　　　　　　　负责人（公章）：</w:t>
            </w:r>
          </w:p>
          <w:p>
            <w:pPr>
              <w:shd w:val="clear"/>
              <w:spacing w:line="280" w:lineRule="exact"/>
              <w:jc w:val="left"/>
              <w:rPr>
                <w:rFonts w:ascii="仿宋" w:hAnsi="仿宋" w:eastAsia="仿宋"/>
                <w:sz w:val="24"/>
                <w:highlight w:val="none"/>
                <w:shd w:val="clear" w:color="auto" w:fill="auto"/>
              </w:rPr>
            </w:pPr>
            <w:r>
              <w:rPr>
                <w:rFonts w:hint="eastAsia" w:ascii="仿宋" w:hAnsi="仿宋" w:eastAsia="仿宋"/>
                <w:sz w:val="24"/>
                <w:highlight w:val="none"/>
                <w:shd w:val="clear" w:color="auto" w:fill="auto"/>
              </w:rPr>
              <w:t>　　　　　　　　　　　　　　　　年　　月　　日</w:t>
            </w:r>
          </w:p>
        </w:tc>
      </w:tr>
    </w:tbl>
    <w:p>
      <w:pPr>
        <w:shd w:val="clear"/>
        <w:spacing w:line="360" w:lineRule="auto"/>
        <w:jc w:val="left"/>
        <w:rPr>
          <w:highlight w:val="none"/>
          <w:shd w:val="clear" w:color="auto" w:fill="auto"/>
        </w:rPr>
      </w:pPr>
    </w:p>
    <w:p>
      <w:pPr>
        <w:shd w:val="clear"/>
        <w:adjustRightInd w:val="0"/>
        <w:snapToGrid w:val="0"/>
        <w:spacing w:line="360" w:lineRule="auto"/>
        <w:rPr>
          <w:highlight w:val="none"/>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8B05BF-5517-4569-ADF6-391D150660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A284B2D-72FA-4C2E-A0A0-71BA8A16F5CD}"/>
  </w:font>
  <w:font w:name="方正大标宋简体">
    <w:panose1 w:val="02000000000000000000"/>
    <w:charset w:val="86"/>
    <w:family w:val="auto"/>
    <w:pitch w:val="default"/>
    <w:sig w:usb0="A00002BF" w:usb1="184F6CFA" w:usb2="00000012" w:usb3="00000000" w:csb0="00040001" w:csb1="00000000"/>
    <w:embedRegular r:id="rId3" w:fontKey="{FDD30765-0D20-4016-9D51-F9B6694B8D6D}"/>
  </w:font>
  <w:font w:name="方正魏碑简体">
    <w:altName w:val="宋体"/>
    <w:panose1 w:val="00000000000000000000"/>
    <w:charset w:val="86"/>
    <w:family w:val="auto"/>
    <w:pitch w:val="default"/>
    <w:sig w:usb0="00000000" w:usb1="00000000" w:usb2="00000010" w:usb3="00000000" w:csb0="00040000" w:csb1="00000000"/>
    <w:embedRegular r:id="rId4" w:fontKey="{F1EF0328-41B4-4B6F-A6A7-5E0D284870E7}"/>
  </w:font>
  <w:font w:name="楷体">
    <w:panose1 w:val="02010609060101010101"/>
    <w:charset w:val="86"/>
    <w:family w:val="modern"/>
    <w:pitch w:val="default"/>
    <w:sig w:usb0="800002BF" w:usb1="38CF7CFA" w:usb2="00000016" w:usb3="00000000" w:csb0="00040001" w:csb1="00000000"/>
    <w:embedRegular r:id="rId5" w:fontKey="{82E33A5D-1542-4AE2-9210-A56E37AB09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638BE"/>
    <w:multiLevelType w:val="singleLevel"/>
    <w:tmpl w:val="8E4638BE"/>
    <w:lvl w:ilvl="0" w:tentative="0">
      <w:start w:val="2"/>
      <w:numFmt w:val="decimal"/>
      <w:lvlText w:val="%1."/>
      <w:lvlJc w:val="left"/>
      <w:pPr>
        <w:tabs>
          <w:tab w:val="left" w:pos="312"/>
        </w:tabs>
      </w:pPr>
    </w:lvl>
  </w:abstractNum>
  <w:abstractNum w:abstractNumId="1">
    <w:nsid w:val="ADB1B046"/>
    <w:multiLevelType w:val="singleLevel"/>
    <w:tmpl w:val="ADB1B046"/>
    <w:lvl w:ilvl="0" w:tentative="0">
      <w:start w:val="2"/>
      <w:numFmt w:val="decimal"/>
      <w:lvlText w:val="%1."/>
      <w:lvlJc w:val="left"/>
      <w:pPr>
        <w:tabs>
          <w:tab w:val="left" w:pos="312"/>
        </w:tabs>
      </w:pPr>
    </w:lvl>
  </w:abstractNum>
  <w:abstractNum w:abstractNumId="2">
    <w:nsid w:val="0291193C"/>
    <w:multiLevelType w:val="singleLevel"/>
    <w:tmpl w:val="0291193C"/>
    <w:lvl w:ilvl="0" w:tentative="0">
      <w:start w:val="2"/>
      <w:numFmt w:val="decimal"/>
      <w:suff w:val="nothing"/>
      <w:lvlText w:val="（%1）"/>
      <w:lvlJc w:val="left"/>
    </w:lvl>
  </w:abstractNum>
  <w:abstractNum w:abstractNumId="3">
    <w:nsid w:val="2A1BD4CF"/>
    <w:multiLevelType w:val="singleLevel"/>
    <w:tmpl w:val="2A1BD4CF"/>
    <w:lvl w:ilvl="0" w:tentative="0">
      <w:start w:val="2"/>
      <w:numFmt w:val="decimal"/>
      <w:lvlText w:val="%1."/>
      <w:lvlJc w:val="left"/>
      <w:pPr>
        <w:tabs>
          <w:tab w:val="left" w:pos="312"/>
        </w:tabs>
      </w:pPr>
    </w:lvl>
  </w:abstractNum>
  <w:abstractNum w:abstractNumId="4">
    <w:nsid w:val="3AAB356E"/>
    <w:multiLevelType w:val="singleLevel"/>
    <w:tmpl w:val="3AAB356E"/>
    <w:lvl w:ilvl="0" w:tentative="0">
      <w:start w:val="9"/>
      <w:numFmt w:val="chineseCounting"/>
      <w:suff w:val="nothing"/>
      <w:lvlText w:val="%1、"/>
      <w:lvlJc w:val="left"/>
      <w:rPr>
        <w:rFonts w:hint="eastAsia"/>
      </w:rPr>
    </w:lvl>
  </w:abstractNum>
  <w:abstractNum w:abstractNumId="5">
    <w:nsid w:val="6420B4A4"/>
    <w:multiLevelType w:val="singleLevel"/>
    <w:tmpl w:val="6420B4A4"/>
    <w:lvl w:ilvl="0" w:tentative="0">
      <w:start w:val="3"/>
      <w:numFmt w:val="decimal"/>
      <w:lvlText w:val="(%1)"/>
      <w:lvlJc w:val="left"/>
      <w:pPr>
        <w:tabs>
          <w:tab w:val="left" w:pos="312"/>
        </w:tabs>
      </w:pPr>
    </w:lvl>
  </w:abstractNum>
  <w:abstractNum w:abstractNumId="6">
    <w:nsid w:val="6AB6C297"/>
    <w:multiLevelType w:val="singleLevel"/>
    <w:tmpl w:val="6AB6C297"/>
    <w:lvl w:ilvl="0" w:tentative="0">
      <w:start w:val="2"/>
      <w:numFmt w:val="chineseCounting"/>
      <w:suff w:val="nothing"/>
      <w:lvlText w:val="（%1）"/>
      <w:lvlJc w:val="left"/>
      <w:rPr>
        <w:rFonts w:hint="eastAsia"/>
      </w:rPr>
    </w:lvl>
  </w:abstractNum>
  <w:abstractNum w:abstractNumId="7">
    <w:nsid w:val="7435D7EA"/>
    <w:multiLevelType w:val="singleLevel"/>
    <w:tmpl w:val="7435D7EA"/>
    <w:lvl w:ilvl="0" w:tentative="0">
      <w:start w:val="1"/>
      <w:numFmt w:val="chineseCounting"/>
      <w:suff w:val="nothing"/>
      <w:lvlText w:val="（%1）"/>
      <w:lvlJc w:val="left"/>
      <w:rPr>
        <w:rFonts w:hint="eastAsia"/>
      </w:rPr>
    </w:lvl>
  </w:abstractNum>
  <w:num w:numId="1">
    <w:abstractNumId w:val="2"/>
  </w:num>
  <w:num w:numId="2">
    <w:abstractNumId w:val="0"/>
  </w:num>
  <w:num w:numId="3">
    <w:abstractNumId w:val="5"/>
  </w:num>
  <w:num w:numId="4">
    <w:abstractNumId w:val="7"/>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OWM3MWZiNzVjODc0ZDllZGRjN2FlYmIzMTg1NjUifQ=="/>
  </w:docVars>
  <w:rsids>
    <w:rsidRoot w:val="00333F99"/>
    <w:rsid w:val="00005F6D"/>
    <w:rsid w:val="00027085"/>
    <w:rsid w:val="000271D5"/>
    <w:rsid w:val="00033234"/>
    <w:rsid w:val="000B3709"/>
    <w:rsid w:val="000F5A2E"/>
    <w:rsid w:val="00110619"/>
    <w:rsid w:val="001578A0"/>
    <w:rsid w:val="001748BB"/>
    <w:rsid w:val="0019515C"/>
    <w:rsid w:val="001B44A3"/>
    <w:rsid w:val="00203943"/>
    <w:rsid w:val="0025602C"/>
    <w:rsid w:val="00262134"/>
    <w:rsid w:val="00263888"/>
    <w:rsid w:val="002A14A3"/>
    <w:rsid w:val="002D7D6C"/>
    <w:rsid w:val="00303652"/>
    <w:rsid w:val="00325123"/>
    <w:rsid w:val="0033351C"/>
    <w:rsid w:val="00333F99"/>
    <w:rsid w:val="003547BE"/>
    <w:rsid w:val="003C1FBE"/>
    <w:rsid w:val="003D7108"/>
    <w:rsid w:val="00402E81"/>
    <w:rsid w:val="004111E4"/>
    <w:rsid w:val="004209F3"/>
    <w:rsid w:val="004665B3"/>
    <w:rsid w:val="004A6D63"/>
    <w:rsid w:val="004C2927"/>
    <w:rsid w:val="004D1DA5"/>
    <w:rsid w:val="004F7DE3"/>
    <w:rsid w:val="0061369A"/>
    <w:rsid w:val="00645558"/>
    <w:rsid w:val="00671927"/>
    <w:rsid w:val="006A0E0A"/>
    <w:rsid w:val="006A48A3"/>
    <w:rsid w:val="006E56A3"/>
    <w:rsid w:val="007437D8"/>
    <w:rsid w:val="00756C25"/>
    <w:rsid w:val="0077624B"/>
    <w:rsid w:val="00794ECD"/>
    <w:rsid w:val="007D199E"/>
    <w:rsid w:val="007E08CE"/>
    <w:rsid w:val="008274E4"/>
    <w:rsid w:val="008506F3"/>
    <w:rsid w:val="00865515"/>
    <w:rsid w:val="0089053B"/>
    <w:rsid w:val="008B3BC1"/>
    <w:rsid w:val="008D0E38"/>
    <w:rsid w:val="008F18A9"/>
    <w:rsid w:val="0091539F"/>
    <w:rsid w:val="00935158"/>
    <w:rsid w:val="00974FD4"/>
    <w:rsid w:val="00976C78"/>
    <w:rsid w:val="00983935"/>
    <w:rsid w:val="009A4886"/>
    <w:rsid w:val="009F1C7E"/>
    <w:rsid w:val="00A7667E"/>
    <w:rsid w:val="00A77659"/>
    <w:rsid w:val="00AC092F"/>
    <w:rsid w:val="00B168D3"/>
    <w:rsid w:val="00B3072A"/>
    <w:rsid w:val="00B414F6"/>
    <w:rsid w:val="00B826A3"/>
    <w:rsid w:val="00B96665"/>
    <w:rsid w:val="00B97100"/>
    <w:rsid w:val="00BF7913"/>
    <w:rsid w:val="00C26CDC"/>
    <w:rsid w:val="00C350C3"/>
    <w:rsid w:val="00C407BC"/>
    <w:rsid w:val="00CE0284"/>
    <w:rsid w:val="00CE14AD"/>
    <w:rsid w:val="00D63051"/>
    <w:rsid w:val="00D663C5"/>
    <w:rsid w:val="00D72A26"/>
    <w:rsid w:val="00D7655E"/>
    <w:rsid w:val="00D91724"/>
    <w:rsid w:val="00DA6FEF"/>
    <w:rsid w:val="00DA75AB"/>
    <w:rsid w:val="00DC1B69"/>
    <w:rsid w:val="00E0790D"/>
    <w:rsid w:val="00E550EE"/>
    <w:rsid w:val="00E66BA3"/>
    <w:rsid w:val="00E91619"/>
    <w:rsid w:val="00E9558B"/>
    <w:rsid w:val="00ED625F"/>
    <w:rsid w:val="00ED7547"/>
    <w:rsid w:val="00F410B9"/>
    <w:rsid w:val="00F639E9"/>
    <w:rsid w:val="00F66484"/>
    <w:rsid w:val="00FB6791"/>
    <w:rsid w:val="00FC4B76"/>
    <w:rsid w:val="00FD6F71"/>
    <w:rsid w:val="00FF7CF4"/>
    <w:rsid w:val="0256755B"/>
    <w:rsid w:val="02B37E56"/>
    <w:rsid w:val="056401E1"/>
    <w:rsid w:val="05B31BD4"/>
    <w:rsid w:val="07E15201"/>
    <w:rsid w:val="08B84DB9"/>
    <w:rsid w:val="08E46FDA"/>
    <w:rsid w:val="099B7EFF"/>
    <w:rsid w:val="0A0106F5"/>
    <w:rsid w:val="0D417786"/>
    <w:rsid w:val="0D6C0CD9"/>
    <w:rsid w:val="0DCD20C4"/>
    <w:rsid w:val="0E49688F"/>
    <w:rsid w:val="12FE6C25"/>
    <w:rsid w:val="16674698"/>
    <w:rsid w:val="178D6295"/>
    <w:rsid w:val="183D3240"/>
    <w:rsid w:val="1B432DDA"/>
    <w:rsid w:val="1D0460DA"/>
    <w:rsid w:val="1D4D766D"/>
    <w:rsid w:val="1FCC703A"/>
    <w:rsid w:val="207B7A86"/>
    <w:rsid w:val="21F9508E"/>
    <w:rsid w:val="223739E3"/>
    <w:rsid w:val="228A0E86"/>
    <w:rsid w:val="23E93A2D"/>
    <w:rsid w:val="24A9431E"/>
    <w:rsid w:val="25341249"/>
    <w:rsid w:val="25714E1E"/>
    <w:rsid w:val="272C15EB"/>
    <w:rsid w:val="27B711AF"/>
    <w:rsid w:val="29091265"/>
    <w:rsid w:val="292518B2"/>
    <w:rsid w:val="2AA84D3C"/>
    <w:rsid w:val="2DF35721"/>
    <w:rsid w:val="2EED7E6F"/>
    <w:rsid w:val="2F1F385C"/>
    <w:rsid w:val="31501985"/>
    <w:rsid w:val="33DF0C7D"/>
    <w:rsid w:val="33FF1EC6"/>
    <w:rsid w:val="34071CC4"/>
    <w:rsid w:val="34A915E9"/>
    <w:rsid w:val="34E22BEB"/>
    <w:rsid w:val="366510FE"/>
    <w:rsid w:val="39306815"/>
    <w:rsid w:val="3AC027F2"/>
    <w:rsid w:val="3B4B5FDE"/>
    <w:rsid w:val="3BF55114"/>
    <w:rsid w:val="3C7842E3"/>
    <w:rsid w:val="3D854156"/>
    <w:rsid w:val="407A3761"/>
    <w:rsid w:val="423510C4"/>
    <w:rsid w:val="42660B19"/>
    <w:rsid w:val="428C42F8"/>
    <w:rsid w:val="42AA362E"/>
    <w:rsid w:val="43F110FC"/>
    <w:rsid w:val="46616C51"/>
    <w:rsid w:val="46B50E28"/>
    <w:rsid w:val="47484C91"/>
    <w:rsid w:val="49143C78"/>
    <w:rsid w:val="4A830D71"/>
    <w:rsid w:val="4BB9759E"/>
    <w:rsid w:val="4CA24E44"/>
    <w:rsid w:val="4E9D24E2"/>
    <w:rsid w:val="4EAE0723"/>
    <w:rsid w:val="4F67058B"/>
    <w:rsid w:val="50DD08D9"/>
    <w:rsid w:val="529D7230"/>
    <w:rsid w:val="53126C25"/>
    <w:rsid w:val="581A367D"/>
    <w:rsid w:val="5A9102A6"/>
    <w:rsid w:val="5C14490A"/>
    <w:rsid w:val="5C311D40"/>
    <w:rsid w:val="5D353CE6"/>
    <w:rsid w:val="5DF824F6"/>
    <w:rsid w:val="5EC47B5C"/>
    <w:rsid w:val="5F6146EB"/>
    <w:rsid w:val="5F933B7B"/>
    <w:rsid w:val="5FBF7663"/>
    <w:rsid w:val="60100D76"/>
    <w:rsid w:val="60A5151E"/>
    <w:rsid w:val="60C730D0"/>
    <w:rsid w:val="63587024"/>
    <w:rsid w:val="64116879"/>
    <w:rsid w:val="64E0613C"/>
    <w:rsid w:val="66A852F5"/>
    <w:rsid w:val="66E005EB"/>
    <w:rsid w:val="67E351F6"/>
    <w:rsid w:val="6A42336B"/>
    <w:rsid w:val="6B0618F7"/>
    <w:rsid w:val="6B977C3A"/>
    <w:rsid w:val="6C03130E"/>
    <w:rsid w:val="6D2D20B0"/>
    <w:rsid w:val="6D853651"/>
    <w:rsid w:val="6DB97DE8"/>
    <w:rsid w:val="6E3C61BF"/>
    <w:rsid w:val="72AB11FC"/>
    <w:rsid w:val="7408580A"/>
    <w:rsid w:val="74BA0B77"/>
    <w:rsid w:val="768D0BDF"/>
    <w:rsid w:val="770F795B"/>
    <w:rsid w:val="777E0D64"/>
    <w:rsid w:val="77D829AF"/>
    <w:rsid w:val="78957A31"/>
    <w:rsid w:val="7A2727A9"/>
    <w:rsid w:val="7AD31C59"/>
    <w:rsid w:val="7E41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styleId="9">
    <w:name w:val="annotation reference"/>
    <w:qFormat/>
    <w:uiPriority w:val="0"/>
    <w:rPr>
      <w:sz w:val="21"/>
      <w:szCs w:val="21"/>
    </w:rPr>
  </w:style>
  <w:style w:type="paragraph" w:customStyle="1" w:styleId="10">
    <w:name w:val="Table Text"/>
    <w:basedOn w:val="1"/>
    <w:semiHidden/>
    <w:qFormat/>
    <w:uiPriority w:val="0"/>
    <w:rPr>
      <w:rFonts w:ascii="仿宋" w:hAnsi="仿宋" w:eastAsia="仿宋" w:cs="仿宋"/>
      <w:sz w:val="20"/>
      <w:szCs w:val="20"/>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section1"/>
    <w:basedOn w:val="1"/>
    <w:qFormat/>
    <w:uiPriority w:val="0"/>
    <w:pPr>
      <w:widowControl/>
      <w:spacing w:line="450" w:lineRule="atLeast"/>
      <w:jc w:val="left"/>
    </w:pPr>
    <w:rPr>
      <w:rFonts w:ascii="宋体" w:hAnsi="宋体" w:cs="宋体"/>
      <w:kern w:val="0"/>
      <w:sz w:val="24"/>
    </w:rPr>
  </w:style>
  <w:style w:type="paragraph" w:customStyle="1" w:styleId="13">
    <w:name w:val="图内文字"/>
    <w:basedOn w:val="1"/>
    <w:qFormat/>
    <w:uiPriority w:val="0"/>
    <w:pPr>
      <w:spacing w:line="0" w:lineRule="atLeast"/>
      <w:jc w:val="center"/>
    </w:pPr>
    <w:rPr>
      <w:b/>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8517</Words>
  <Characters>8641</Characters>
  <Lines>142</Lines>
  <Paragraphs>39</Paragraphs>
  <TotalTime>1</TotalTime>
  <ScaleCrop>false</ScaleCrop>
  <LinksUpToDate>false</LinksUpToDate>
  <CharactersWithSpaces>8713</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2025-08-11T01:54:00Z</dcterms:created>
  <dc:creator>czy</dc:creator>
  <cp:lastModifiedBy>星云</cp:lastModifiedBy>
  <cp:lastPrinted>2025-05-19T10:22:00Z</cp:lastPrinted>
  <dcterms:modified xsi:type="dcterms:W3CDTF">2025-09-15T03:33:32Z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03EDBE6B0F704AE7ABE7F86EBF4063B0_13</vt:lpwstr>
  </property>
  <property fmtid="{D5CDD505-2E9C-101B-9397-08002B2CF9AE}" pid="4" name="KSOTemplateDocerSaveRecord">
    <vt:lpwstr>eyJoZGlkIjoiMzU2NTA3Zjg5OTdjYjAwZjMzZGJkMTdmNDE2YjNiYzYifQ==</vt:lpwstr>
  </property>
</Properties>
</file>